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507340D4"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FE5BDA">
        <w:rPr>
          <w:rFonts w:ascii="Arial" w:eastAsia="Arial" w:hAnsi="Arial" w:cs="Arial"/>
        </w:rPr>
        <w:t>95</w:t>
      </w:r>
      <w:r w:rsidRPr="50125F4E">
        <w:rPr>
          <w:rFonts w:ascii="Arial" w:eastAsia="Arial" w:hAnsi="Arial" w:cs="Arial"/>
        </w:rPr>
        <w:t>-001</w:t>
      </w:r>
      <w:r w:rsidR="009F3E01">
        <w:br/>
      </w:r>
      <w:r w:rsidR="00FE5BDA">
        <w:rPr>
          <w:rFonts w:ascii="Arial" w:eastAsia="Arial" w:hAnsi="Arial" w:cs="Arial"/>
        </w:rPr>
        <w:t>Human and Artificial Cognition</w:t>
      </w:r>
    </w:p>
    <w:p w14:paraId="681400A8" w14:textId="557CDEE7" w:rsidR="00CE1818" w:rsidRPr="0016052E" w:rsidRDefault="00E53506" w:rsidP="00CE1818">
      <w:pPr>
        <w:jc w:val="center"/>
        <w:rPr>
          <w:rFonts w:cs="Arial"/>
          <w:szCs w:val="21"/>
        </w:rPr>
      </w:pPr>
      <w:r>
        <w:rPr>
          <w:rFonts w:cs="Arial"/>
          <w:szCs w:val="21"/>
        </w:rPr>
        <w:t>Spring 2023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61B941B9" w14:textId="28B02CBB" w:rsidR="00C31056" w:rsidRPr="00923DDC" w:rsidRDefault="005866A2" w:rsidP="17BD5C99">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2195F630" w14:textId="06F90DFA" w:rsidR="009F6E1B"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00D106E7">
        <w:rPr>
          <w:rFonts w:cs="Arial"/>
        </w:rPr>
        <w:t xml:space="preserve">live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9F6E1B">
        <w:rPr>
          <w:rFonts w:cs="Arial"/>
        </w:rPr>
        <w:t>Live</w:t>
      </w:r>
      <w:r w:rsidR="009F3E01">
        <w:rPr>
          <w:rFonts w:cs="Arial"/>
        </w:rPr>
        <w:t xml:space="preserve"> sessions are planned</w:t>
      </w:r>
      <w:r w:rsidR="009F6E1B">
        <w:rPr>
          <w:rFonts w:cs="Arial"/>
        </w:rPr>
        <w:t xml:space="preserve"> weekly</w:t>
      </w:r>
      <w:r w:rsidR="0053120B">
        <w:rPr>
          <w:rFonts w:cs="Arial"/>
        </w:rPr>
        <w:t xml:space="preserve"> based on student interest and availability. </w:t>
      </w:r>
      <w:r w:rsidR="009F6E1B">
        <w:rPr>
          <w:rFonts w:cs="Arial"/>
        </w:rPr>
        <w:t xml:space="preserve"> </w:t>
      </w:r>
    </w:p>
    <w:p w14:paraId="06CE6377" w14:textId="77777777" w:rsidR="009F6E1B" w:rsidRDefault="009F6E1B" w:rsidP="50125F4E">
      <w:pPr>
        <w:spacing w:line="259" w:lineRule="auto"/>
        <w:rPr>
          <w:rFonts w:cs="Arial"/>
        </w:rPr>
      </w:pPr>
    </w:p>
    <w:p w14:paraId="427D3C6E" w14:textId="17999FE5" w:rsidR="05B80250" w:rsidRDefault="00936E63" w:rsidP="50125F4E">
      <w:pPr>
        <w:spacing w:line="259" w:lineRule="auto"/>
        <w:rPr>
          <w:rFonts w:cs="Arial"/>
        </w:rPr>
      </w:pPr>
      <w:r>
        <w:rPr>
          <w:rFonts w:cs="Arial"/>
        </w:rPr>
        <w:t xml:space="preserve">Learning online is a unique experience and requires different forms of engagement. Primary is regular (daily) engagement with course materials. </w:t>
      </w:r>
      <w:r w:rsidR="00160D21">
        <w:rPr>
          <w:rFonts w:cs="Arial"/>
        </w:rPr>
        <w:t>Suggestions on “how to succeed” online will be provided and shared throughout the program.</w:t>
      </w:r>
      <w:r>
        <w:rPr>
          <w:rFonts w:cs="Arial"/>
        </w:rPr>
        <w:t xml:space="preserve"> </w:t>
      </w:r>
      <w:r w:rsidR="009F6E1B">
        <w:rPr>
          <w:rFonts w:cs="Arial"/>
        </w:rPr>
        <w:t xml:space="preserve">The MSLA course hub in Canvas will also provide ongoing resources and assistance in planning and engaging in online learning. </w:t>
      </w:r>
    </w:p>
    <w:p w14:paraId="28CDD312" w14:textId="77777777" w:rsidR="000D7CC4" w:rsidRDefault="000E5E04" w:rsidP="000D7CC4">
      <w:pPr>
        <w:pStyle w:val="Heading3"/>
      </w:pPr>
      <w:r>
        <w:t>Description of Course Content</w:t>
      </w:r>
    </w:p>
    <w:p w14:paraId="5D6BE409" w14:textId="0F180EAE" w:rsidR="00233799" w:rsidRDefault="00233799" w:rsidP="17BD5C99">
      <w:pPr>
        <w:rPr>
          <w:rFonts w:cs="Arial"/>
        </w:rPr>
      </w:pPr>
    </w:p>
    <w:p w14:paraId="28F7E1C9" w14:textId="1F62B3C2" w:rsidR="00233799" w:rsidRDefault="00233799" w:rsidP="17BD5C99">
      <w:pPr>
        <w:rPr>
          <w:rFonts w:cs="Arial"/>
        </w:rPr>
      </w:pPr>
      <w:r w:rsidRPr="00233799">
        <w:rPr>
          <w:rFonts w:cs="Arial"/>
        </w:rPr>
        <w:t>Artificial intelligence (AI) is exerting growing influence in all aspects of modern life</w:t>
      </w:r>
      <w:r w:rsidR="00E46139">
        <w:rPr>
          <w:rFonts w:cs="Arial"/>
        </w:rPr>
        <w:t>, including how we encounter information and how we interact with one another</w:t>
      </w:r>
      <w:r w:rsidRPr="00233799">
        <w:rPr>
          <w:rFonts w:cs="Arial"/>
        </w:rPr>
        <w:t xml:space="preserve">. </w:t>
      </w:r>
      <w:r w:rsidR="00B370B0">
        <w:rPr>
          <w:rFonts w:cs="Arial"/>
        </w:rPr>
        <w:t xml:space="preserve">It is a “silent agent” that underpins our daily lives. </w:t>
      </w:r>
      <w:r w:rsidRPr="00233799">
        <w:rPr>
          <w:rFonts w:cs="Arial"/>
        </w:rPr>
        <w:t xml:space="preserve">This course surveys AI trends and details prominent models for how human and machine agents intersect in knowledge work, using discrete cognitive processes as the basic unit for determining agent roles. </w:t>
      </w:r>
    </w:p>
    <w:p w14:paraId="28BE784D" w14:textId="2E19E436" w:rsidR="00B72E5B" w:rsidRDefault="00B72E5B" w:rsidP="17BD5C99">
      <w:pPr>
        <w:rPr>
          <w:rFonts w:cs="Arial"/>
        </w:rPr>
      </w:pPr>
    </w:p>
    <w:p w14:paraId="363EAA85" w14:textId="129EF578" w:rsidR="00BA0A96" w:rsidRDefault="00B72E5B" w:rsidP="17BD5C99">
      <w:pPr>
        <w:rPr>
          <w:rFonts w:cs="Arial"/>
        </w:rPr>
      </w:pPr>
      <w:r>
        <w:rPr>
          <w:rFonts w:cs="Arial"/>
        </w:rPr>
        <w:t>AI has an extensive history</w:t>
      </w:r>
      <w:r w:rsidR="00BA0A96">
        <w:rPr>
          <w:rFonts w:cs="Arial"/>
        </w:rPr>
        <w:t>, capturing the interest of scientists and the general public. While much of this history involves technical advances that are out of scope for non-scientists, periods of dramatic innovation punctuate ongoing progress: Watson, Deep Blue, Alpha Go.</w:t>
      </w:r>
      <w:r w:rsidR="00BA0A96" w:rsidRPr="00BA0A96">
        <w:rPr>
          <w:rFonts w:cs="Arial"/>
        </w:rPr>
        <w:t xml:space="preserve"> </w:t>
      </w:r>
      <w:r w:rsidR="00BA0A96">
        <w:rPr>
          <w:rFonts w:cs="Arial"/>
        </w:rPr>
        <w:t xml:space="preserve">These innovations were largely out of reach of most people: direct engagement was reserved for experts. </w:t>
      </w:r>
      <w:r w:rsidR="0001155E">
        <w:rPr>
          <w:rFonts w:cs="Arial"/>
        </w:rPr>
        <w:t xml:space="preserve">New technologies (including DALLE-2, Stable Diffusion, Moonbeam, </w:t>
      </w:r>
      <w:proofErr w:type="spellStart"/>
      <w:r w:rsidR="0001155E">
        <w:rPr>
          <w:rFonts w:cs="Arial"/>
        </w:rPr>
        <w:t>ChatGPT</w:t>
      </w:r>
      <w:proofErr w:type="spellEnd"/>
      <w:r w:rsidR="0001155E">
        <w:rPr>
          <w:rFonts w:cs="Arial"/>
        </w:rPr>
        <w:t xml:space="preserve">) have moved AI from an “in the lab” or “behind the scenes” technology into one that is readily accessible to everyone. Education systems are also being impacted. </w:t>
      </w:r>
      <w:r w:rsidR="00BA0A96">
        <w:rPr>
          <w:rFonts w:cs="Arial"/>
        </w:rPr>
        <w:t xml:space="preserve">By late 2022, the media attention of generative AI has created public conversation about how AI </w:t>
      </w:r>
      <w:r w:rsidR="0001155E">
        <w:rPr>
          <w:rFonts w:cs="Arial"/>
        </w:rPr>
        <w:t xml:space="preserve">changes </w:t>
      </w:r>
      <w:r w:rsidR="00BA0A96">
        <w:rPr>
          <w:rFonts w:cs="Arial"/>
        </w:rPr>
        <w:t xml:space="preserve">traditional </w:t>
      </w:r>
      <w:r w:rsidR="0001155E">
        <w:rPr>
          <w:rFonts w:cs="Arial"/>
        </w:rPr>
        <w:t>activities, such as writing and assessment, in a classroom</w:t>
      </w:r>
      <w:r w:rsidR="00BA0A96">
        <w:rPr>
          <w:rFonts w:cs="Arial"/>
        </w:rPr>
        <w:t xml:space="preserve">. </w:t>
      </w:r>
    </w:p>
    <w:p w14:paraId="02FC823E" w14:textId="77777777" w:rsidR="00BA0A96" w:rsidRDefault="00BA0A96" w:rsidP="17BD5C99">
      <w:pPr>
        <w:rPr>
          <w:rFonts w:cs="Arial"/>
        </w:rPr>
      </w:pPr>
    </w:p>
    <w:p w14:paraId="5A34B10B" w14:textId="72637A2C" w:rsidR="00F7036C" w:rsidRDefault="0001155E" w:rsidP="17BD5C99">
      <w:pPr>
        <w:rPr>
          <w:rFonts w:cs="Arial"/>
        </w:rPr>
      </w:pPr>
      <w:r>
        <w:rPr>
          <w:rFonts w:cs="Arial"/>
        </w:rPr>
        <w:lastRenderedPageBreak/>
        <w:t>The course addresses the intersection between human and machine – the middle space where tasks and activities are being actively negotiated as AI continues rapid advances.</w:t>
      </w:r>
      <w:r w:rsidR="00EF173E">
        <w:rPr>
          <w:rFonts w:cs="Arial"/>
        </w:rPr>
        <w:t xml:space="preserve"> It will review the history of AI, the various starts and stops between different approaches (</w:t>
      </w:r>
      <w:proofErr w:type="gramStart"/>
      <w:r w:rsidR="00B370B0">
        <w:rPr>
          <w:rFonts w:cs="Arial"/>
        </w:rPr>
        <w:t>e.g.</w:t>
      </w:r>
      <w:proofErr w:type="gramEnd"/>
      <w:r w:rsidR="00B370B0">
        <w:rPr>
          <w:rFonts w:cs="Arial"/>
        </w:rPr>
        <w:t xml:space="preserve"> </w:t>
      </w:r>
      <w:r w:rsidR="00EF173E">
        <w:rPr>
          <w:rFonts w:cs="Arial"/>
        </w:rPr>
        <w:t xml:space="preserve">symbolic, neural network), and the current period of explosive investment and international country-level competition in AI technology and talent. Issues of bias, fairness, and ethics will also be considered, focusing on implications of AI that can cause harm as well as the regulatory attempts of both companies and countries. A central theme of this course is how human cognition intersects with artificial cognition and what that means to the human condition and the </w:t>
      </w:r>
      <w:r w:rsidR="00B370B0">
        <w:rPr>
          <w:rFonts w:cs="Arial"/>
        </w:rPr>
        <w:t>long-term</w:t>
      </w:r>
      <w:r w:rsidR="00EF173E">
        <w:rPr>
          <w:rFonts w:cs="Arial"/>
        </w:rPr>
        <w:t xml:space="preserve"> implications for humanity. Consideration of AI </w:t>
      </w:r>
      <w:r w:rsidR="00B370B0">
        <w:rPr>
          <w:rFonts w:cs="Arial"/>
        </w:rPr>
        <w:t xml:space="preserve">throughout the course is on the educational sector, including </w:t>
      </w:r>
      <w:r w:rsidR="00EF173E">
        <w:rPr>
          <w:rFonts w:cs="Arial"/>
        </w:rPr>
        <w:t xml:space="preserve">impact in classrooms, schools, and universities.  </w:t>
      </w:r>
    </w:p>
    <w:p w14:paraId="2935CA0F" w14:textId="03EE8AF5" w:rsidR="00141EC6" w:rsidRDefault="000E5E04" w:rsidP="00C31056">
      <w:pPr>
        <w:pStyle w:val="Heading3"/>
      </w:pPr>
      <w:r>
        <w:t>Student Learning Outcomes</w:t>
      </w:r>
    </w:p>
    <w:p w14:paraId="5A8468DE" w14:textId="77777777" w:rsidR="0053120B" w:rsidRDefault="0053120B" w:rsidP="00593047"/>
    <w:p w14:paraId="0F957200" w14:textId="47FD4672" w:rsidR="00C31056" w:rsidRDefault="002F5F4D" w:rsidP="00593047">
      <w:r>
        <w:t>By the end of the course, students will be able to:</w:t>
      </w:r>
    </w:p>
    <w:p w14:paraId="1DA5A75D" w14:textId="77777777" w:rsidR="002F5F4D" w:rsidRDefault="002F5F4D" w:rsidP="00593047"/>
    <w:p w14:paraId="0BEFD2E2" w14:textId="3B19A046" w:rsidR="00491B08" w:rsidRDefault="00EF173E" w:rsidP="00663905">
      <w:pPr>
        <w:pStyle w:val="ListParagraph"/>
        <w:numPr>
          <w:ilvl w:val="0"/>
          <w:numId w:val="20"/>
        </w:numPr>
      </w:pPr>
      <w:r>
        <w:t>Detail the historical progression of AI and the critical technology advancements that have led to modern AI.</w:t>
      </w:r>
    </w:p>
    <w:p w14:paraId="6BBD7274" w14:textId="6D52DDAC" w:rsidR="00721878" w:rsidRDefault="00721878" w:rsidP="00663905">
      <w:pPr>
        <w:pStyle w:val="ListParagraph"/>
        <w:numPr>
          <w:ilvl w:val="0"/>
          <w:numId w:val="20"/>
        </w:numPr>
      </w:pPr>
      <w:r>
        <w:t>Define human cognition and cognitive processes</w:t>
      </w:r>
      <w:r w:rsidR="00B370B0">
        <w:t>.</w:t>
      </w:r>
    </w:p>
    <w:p w14:paraId="6AE27FF5" w14:textId="5F0316B9" w:rsidR="00EF173E" w:rsidRDefault="00721878" w:rsidP="00663905">
      <w:pPr>
        <w:pStyle w:val="ListParagraph"/>
        <w:numPr>
          <w:ilvl w:val="0"/>
          <w:numId w:val="20"/>
        </w:numPr>
      </w:pPr>
      <w:r>
        <w:t>Articulate</w:t>
      </w:r>
      <w:r w:rsidR="00EF173E">
        <w:t xml:space="preserve"> the cognitive capacities of AI, notably generative, artistic, and creative outputs. </w:t>
      </w:r>
    </w:p>
    <w:p w14:paraId="29A81565" w14:textId="77777777" w:rsidR="00ED614F" w:rsidRDefault="00EF173E" w:rsidP="00663905">
      <w:pPr>
        <w:pStyle w:val="ListParagraph"/>
        <w:numPr>
          <w:ilvl w:val="0"/>
          <w:numId w:val="20"/>
        </w:numPr>
      </w:pPr>
      <w:r>
        <w:t>Describe the ethical dimensions of AI deployment, focusing on the harm that AI can cause and regulation attempts</w:t>
      </w:r>
      <w:r w:rsidR="00ED614F">
        <w:t xml:space="preserve"> by EU and related regions. </w:t>
      </w:r>
    </w:p>
    <w:p w14:paraId="33F0CBD2" w14:textId="3FB3B27C" w:rsidR="00663905" w:rsidRDefault="00ED614F" w:rsidP="00663905">
      <w:pPr>
        <w:pStyle w:val="ListParagraph"/>
        <w:numPr>
          <w:ilvl w:val="0"/>
          <w:numId w:val="20"/>
        </w:numPr>
      </w:pPr>
      <w:r>
        <w:t>Describe models for integrating human cognitive outputs with artificial cognitive outputs, focusing on the coordinating mechanisms between the two systems.</w:t>
      </w:r>
    </w:p>
    <w:p w14:paraId="6BD32792" w14:textId="4D6F7ADC" w:rsidR="00ED614F" w:rsidRDefault="00ED614F" w:rsidP="00663905">
      <w:pPr>
        <w:pStyle w:val="ListParagraph"/>
        <w:numPr>
          <w:ilvl w:val="0"/>
          <w:numId w:val="20"/>
        </w:numPr>
      </w:pPr>
      <w:r>
        <w:t>Use AI technologies to brainstorm, create, write, and improve knowledge artifacts.</w:t>
      </w:r>
    </w:p>
    <w:p w14:paraId="48C92290" w14:textId="3810E130" w:rsidR="00ED614F" w:rsidRDefault="00F0482C" w:rsidP="00663905">
      <w:pPr>
        <w:pStyle w:val="ListParagraph"/>
        <w:numPr>
          <w:ilvl w:val="0"/>
          <w:numId w:val="20"/>
        </w:numPr>
      </w:pPr>
      <w:r>
        <w:t>Describe the contributions of various academic disciplines in advancing the basic science of AI in learning and education.</w:t>
      </w:r>
    </w:p>
    <w:p w14:paraId="7A9BC1AE" w14:textId="1F0EFAB6" w:rsidR="00F0482C" w:rsidRDefault="00F0482C" w:rsidP="00663905">
      <w:pPr>
        <w:pStyle w:val="ListParagraph"/>
        <w:numPr>
          <w:ilvl w:val="0"/>
          <w:numId w:val="20"/>
        </w:numPr>
      </w:pPr>
      <w:r>
        <w:t>Explain prominent AI trends and the anticipated impact on education systems, work, and learning.</w:t>
      </w:r>
    </w:p>
    <w:p w14:paraId="1CB4C8E6" w14:textId="08162F96" w:rsidR="00B370B0" w:rsidRDefault="00B370B0" w:rsidP="00B370B0">
      <w:pPr>
        <w:pStyle w:val="ListParagraph"/>
      </w:pP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52E00B46" w14:textId="143EF9BB" w:rsidR="0053120B" w:rsidRDefault="0053120B" w:rsidP="00255B9D">
      <w:pPr>
        <w:rPr>
          <w:rFonts w:cs="Arial"/>
        </w:rPr>
      </w:pPr>
    </w:p>
    <w:p w14:paraId="4EFF432A" w14:textId="51F7BA52" w:rsidR="00ED614F" w:rsidRPr="00255B9D" w:rsidRDefault="00ED614F" w:rsidP="00255B9D">
      <w:pPr>
        <w:rPr>
          <w:rFonts w:eastAsia="Times New Roman" w:cs="Arial"/>
          <w:lang w:eastAsia="en-US"/>
        </w:rPr>
      </w:pPr>
      <w:r>
        <w:rPr>
          <w:rFonts w:cs="Arial"/>
        </w:rPr>
        <w:t xml:space="preserve">No texts are required. All resources will be readings </w:t>
      </w:r>
      <w:r w:rsidR="00570B9B">
        <w:rPr>
          <w:rFonts w:cs="Arial"/>
        </w:rPr>
        <w:t>and videos</w:t>
      </w:r>
      <w:r>
        <w:rPr>
          <w:rFonts w:cs="Arial"/>
        </w:rPr>
        <w:t>– both academic and popular/technical press.</w:t>
      </w:r>
    </w:p>
    <w:p w14:paraId="69719AFA" w14:textId="58BDABE7" w:rsidR="00141EC6" w:rsidRDefault="00141EC6" w:rsidP="0005773E">
      <w:pPr>
        <w:pStyle w:val="Heading3"/>
      </w:pPr>
      <w:r w:rsidRPr="009D756D">
        <w:t>Descriptions of maj</w:t>
      </w:r>
      <w:r w:rsidR="0005773E">
        <w:t>or assignments and examinations</w:t>
      </w:r>
    </w:p>
    <w:p w14:paraId="6549B70C" w14:textId="77777777" w:rsidR="00C23987" w:rsidRDefault="00C23987" w:rsidP="00B90B72">
      <w:pPr>
        <w:rPr>
          <w:rFonts w:cs="Arial"/>
        </w:rPr>
      </w:pPr>
    </w:p>
    <w:p w14:paraId="71E08971" w14:textId="77777777" w:rsidR="00F0482C" w:rsidRDefault="00F0482C" w:rsidP="00C23987">
      <w:pPr>
        <w:rPr>
          <w:rFonts w:cs="Arial"/>
        </w:rPr>
      </w:pPr>
      <w:r>
        <w:rPr>
          <w:rFonts w:cs="Arial"/>
        </w:rPr>
        <w:t xml:space="preserve">The rapid advancement of AI means that tracking trends and seeing emerging patterns in tools and tool use is a key skill for educators. The assignments in this course focus on active use of AI technologies, with an emphasis on the “space of negotiation” between human and artificial cognition. </w:t>
      </w:r>
    </w:p>
    <w:p w14:paraId="48DE9605" w14:textId="77777777" w:rsidR="00F0482C" w:rsidRDefault="00F0482C" w:rsidP="00C23987">
      <w:pPr>
        <w:rPr>
          <w:rFonts w:cs="Arial"/>
        </w:rPr>
      </w:pPr>
    </w:p>
    <w:p w14:paraId="73D6096B" w14:textId="003F4FC5" w:rsidR="00F0482C" w:rsidRDefault="00F0482C" w:rsidP="00C23987">
      <w:pPr>
        <w:rPr>
          <w:rFonts w:cs="Arial"/>
        </w:rPr>
      </w:pPr>
      <w:r>
        <w:rPr>
          <w:rFonts w:cs="Arial"/>
        </w:rPr>
        <w:t>The following assignments will be completed throughout this course:</w:t>
      </w:r>
    </w:p>
    <w:p w14:paraId="17E3EB25" w14:textId="77777777" w:rsidR="00B370B0" w:rsidRDefault="00B370B0" w:rsidP="00C23987">
      <w:pPr>
        <w:rPr>
          <w:rFonts w:cs="Arial"/>
        </w:rPr>
      </w:pPr>
    </w:p>
    <w:p w14:paraId="70DBD3AE" w14:textId="0E8D60C4" w:rsidR="00F0482C" w:rsidRDefault="00F0482C" w:rsidP="00F0482C">
      <w:pPr>
        <w:pStyle w:val="ListParagraph"/>
        <w:numPr>
          <w:ilvl w:val="0"/>
          <w:numId w:val="22"/>
        </w:numPr>
        <w:rPr>
          <w:rFonts w:cs="Arial"/>
        </w:rPr>
      </w:pPr>
      <w:r w:rsidRPr="00B370B0">
        <w:rPr>
          <w:rFonts w:cs="Arial"/>
          <w:b/>
          <w:bCs/>
        </w:rPr>
        <w:t>Weekly diary</w:t>
      </w:r>
      <w:r>
        <w:rPr>
          <w:rFonts w:cs="Arial"/>
        </w:rPr>
        <w:t xml:space="preserve"> of AI technology exploration and use in knowledge tasks (learning, sensemaking, decision making): 25% of final grade</w:t>
      </w:r>
      <w:r w:rsidR="00B370B0">
        <w:rPr>
          <w:rFonts w:cs="Arial"/>
        </w:rPr>
        <w:t>.</w:t>
      </w:r>
    </w:p>
    <w:p w14:paraId="18C70A89" w14:textId="28309DE5" w:rsidR="00C23987" w:rsidRDefault="00F0482C" w:rsidP="00F0482C">
      <w:pPr>
        <w:pStyle w:val="ListParagraph"/>
        <w:numPr>
          <w:ilvl w:val="0"/>
          <w:numId w:val="22"/>
        </w:numPr>
        <w:rPr>
          <w:rFonts w:cs="Arial"/>
        </w:rPr>
      </w:pPr>
      <w:r w:rsidRPr="00B370B0">
        <w:rPr>
          <w:rFonts w:cs="Arial"/>
          <w:b/>
          <w:bCs/>
        </w:rPr>
        <w:t>Creative artifact</w:t>
      </w:r>
      <w:r>
        <w:rPr>
          <w:rFonts w:cs="Arial"/>
        </w:rPr>
        <w:t>: an integrated output of AI and human interaction that solves or addresses a challenge of consequence. 2</w:t>
      </w:r>
      <w:r w:rsidR="00B370B0">
        <w:rPr>
          <w:rFonts w:cs="Arial"/>
        </w:rPr>
        <w:t>0</w:t>
      </w:r>
      <w:r>
        <w:rPr>
          <w:rFonts w:cs="Arial"/>
        </w:rPr>
        <w:t>% of final grade</w:t>
      </w:r>
      <w:r w:rsidR="00B370B0">
        <w:rPr>
          <w:rFonts w:cs="Arial"/>
        </w:rPr>
        <w:t>.</w:t>
      </w:r>
    </w:p>
    <w:p w14:paraId="0BEEAEE1" w14:textId="6C262604" w:rsidR="00F0482C" w:rsidRDefault="00F0482C" w:rsidP="00F0482C">
      <w:pPr>
        <w:pStyle w:val="ListParagraph"/>
        <w:numPr>
          <w:ilvl w:val="0"/>
          <w:numId w:val="22"/>
        </w:numPr>
        <w:rPr>
          <w:rFonts w:cs="Arial"/>
        </w:rPr>
      </w:pPr>
      <w:r>
        <w:rPr>
          <w:rFonts w:cs="Arial"/>
        </w:rPr>
        <w:t xml:space="preserve">A shared </w:t>
      </w:r>
      <w:r w:rsidRPr="00B370B0">
        <w:rPr>
          <w:rFonts w:cs="Arial"/>
          <w:b/>
          <w:bCs/>
        </w:rPr>
        <w:t>task analysis document</w:t>
      </w:r>
      <w:r>
        <w:rPr>
          <w:rFonts w:cs="Arial"/>
        </w:rPr>
        <w:t xml:space="preserve"> of a complex knowledge challenge that</w:t>
      </w:r>
      <w:r w:rsidR="00B370B0">
        <w:rPr>
          <w:rFonts w:cs="Arial"/>
        </w:rPr>
        <w:t xml:space="preserve"> relies on </w:t>
      </w:r>
      <w:r>
        <w:rPr>
          <w:rFonts w:cs="Arial"/>
        </w:rPr>
        <w:t>integrate</w:t>
      </w:r>
      <w:r w:rsidR="00B370B0">
        <w:rPr>
          <w:rFonts w:cs="Arial"/>
        </w:rPr>
        <w:t>d</w:t>
      </w:r>
      <w:r>
        <w:rPr>
          <w:rFonts w:cs="Arial"/>
        </w:rPr>
        <w:t xml:space="preserve"> artificial and human cognition</w:t>
      </w:r>
      <w:r w:rsidR="00B370B0">
        <w:rPr>
          <w:rFonts w:cs="Arial"/>
        </w:rPr>
        <w:t>. 2</w:t>
      </w:r>
      <w:r w:rsidR="00A568AD">
        <w:rPr>
          <w:rFonts w:cs="Arial"/>
        </w:rPr>
        <w:t>0%</w:t>
      </w:r>
      <w:r w:rsidR="00B370B0">
        <w:rPr>
          <w:rFonts w:cs="Arial"/>
        </w:rPr>
        <w:t xml:space="preserve"> of final grade.</w:t>
      </w:r>
    </w:p>
    <w:p w14:paraId="04F51832" w14:textId="17014E96" w:rsidR="00B370B0" w:rsidRDefault="00B370B0" w:rsidP="00F0482C">
      <w:pPr>
        <w:pStyle w:val="ListParagraph"/>
        <w:numPr>
          <w:ilvl w:val="0"/>
          <w:numId w:val="22"/>
        </w:numPr>
        <w:rPr>
          <w:rFonts w:cs="Arial"/>
        </w:rPr>
      </w:pPr>
      <w:r>
        <w:rPr>
          <w:rFonts w:cs="Arial"/>
        </w:rPr>
        <w:t xml:space="preserve">A </w:t>
      </w:r>
      <w:r w:rsidRPr="00B370B0">
        <w:rPr>
          <w:rFonts w:cs="Arial"/>
          <w:b/>
          <w:bCs/>
        </w:rPr>
        <w:t xml:space="preserve">2000-word paper </w:t>
      </w:r>
      <w:r>
        <w:rPr>
          <w:rFonts w:cs="Arial"/>
        </w:rPr>
        <w:t>defining “what remains the unique domain of humanity in knowledge work”. 20% of final grade.</w:t>
      </w:r>
    </w:p>
    <w:p w14:paraId="7D41BD66" w14:textId="5E44F895" w:rsidR="00B370B0" w:rsidRPr="00F0482C" w:rsidRDefault="00B370B0" w:rsidP="00F0482C">
      <w:pPr>
        <w:pStyle w:val="ListParagraph"/>
        <w:numPr>
          <w:ilvl w:val="0"/>
          <w:numId w:val="22"/>
        </w:numPr>
        <w:rPr>
          <w:rFonts w:cs="Arial"/>
        </w:rPr>
      </w:pPr>
      <w:r w:rsidRPr="001C3AC6">
        <w:rPr>
          <w:rFonts w:cs="Arial"/>
          <w:b/>
          <w:bCs/>
        </w:rPr>
        <w:t>Trend summary</w:t>
      </w:r>
      <w:r>
        <w:rPr>
          <w:rFonts w:cs="Arial"/>
        </w:rPr>
        <w:t xml:space="preserve"> compilation: ongoing summary of trends and patterns related to AI (posted in weekly discussion forums and collated into a final document for submission). 15% of final grade.</w:t>
      </w:r>
    </w:p>
    <w:p w14:paraId="7963D914" w14:textId="58002638" w:rsidR="009326F0" w:rsidRPr="0005773E" w:rsidRDefault="009326F0" w:rsidP="009326F0">
      <w:pPr>
        <w:pStyle w:val="Heading3"/>
      </w:pPr>
      <w:r>
        <w:lastRenderedPageBreak/>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2BF9BCC0" w:rsidR="0052123B" w:rsidRDefault="0001142E" w:rsidP="00D665D2">
      <w:pPr>
        <w:rPr>
          <w:rFonts w:cs="Arial"/>
        </w:rPr>
      </w:pPr>
      <w:r w:rsidRPr="50125F4E">
        <w:rPr>
          <w:rFonts w:cs="Arial"/>
        </w:rPr>
        <w:t xml:space="preserve">Given the distributed and global nature of the course, interaction with course instructors will be </w:t>
      </w:r>
      <w:r w:rsidR="00543C3B" w:rsidRPr="50125F4E">
        <w:rPr>
          <w:rFonts w:cs="Arial"/>
        </w:rPr>
        <w:t>held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538C467" w14:textId="03FABBCC" w:rsidR="008938AC" w:rsidRPr="007F57B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6F948595" w14:textId="513D5A46" w:rsidR="000D7CC4" w:rsidRPr="000D7CC4" w:rsidRDefault="000D7CC4" w:rsidP="003611E2">
      <w:pPr>
        <w:pStyle w:val="Heading2"/>
      </w:pPr>
      <w:r>
        <w:t xml:space="preserve">Grading </w:t>
      </w:r>
      <w:r w:rsidRPr="000D7CC4">
        <w:t>Information</w:t>
      </w:r>
    </w:p>
    <w:p w14:paraId="2E072FBC" w14:textId="450340CC" w:rsidR="0005773E" w:rsidRPr="007F57BC" w:rsidRDefault="0005773E" w:rsidP="007F57BC">
      <w:pPr>
        <w:pStyle w:val="Heading3"/>
      </w:pPr>
      <w:r>
        <w:t>Grading</w:t>
      </w: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43EDA743" w:rsidR="009D0858" w:rsidRDefault="009D756D" w:rsidP="009D0858">
      <w:pPr>
        <w:rPr>
          <w:rFonts w:cs="Arial"/>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0F368D3C" w14:textId="77777777" w:rsidR="0053120B" w:rsidRDefault="0053120B" w:rsidP="009D0858">
      <w:pPr>
        <w:rPr>
          <w:rFonts w:cs="Arial"/>
        </w:rPr>
      </w:pPr>
    </w:p>
    <w:p w14:paraId="6E05B0A7" w14:textId="77777777" w:rsidR="00D116E7" w:rsidRDefault="00D116E7" w:rsidP="00D116E7">
      <w:pPr>
        <w:rPr>
          <w:rFonts w:cs="Arial"/>
          <w:b/>
          <w:bCs/>
        </w:rPr>
      </w:pPr>
      <w:r w:rsidRPr="0095083D">
        <w:rPr>
          <w:rFonts w:cs="Arial"/>
          <w:b/>
          <w:bCs/>
        </w:rPr>
        <w:t xml:space="preserve">Regarding AI and cognitive tools (such as </w:t>
      </w:r>
      <w:proofErr w:type="spellStart"/>
      <w:r w:rsidRPr="0095083D">
        <w:rPr>
          <w:rFonts w:cs="Arial"/>
          <w:b/>
          <w:bCs/>
        </w:rPr>
        <w:t>ChatGPT</w:t>
      </w:r>
      <w:proofErr w:type="spellEnd"/>
      <w:r w:rsidRPr="0095083D">
        <w:rPr>
          <w:rFonts w:cs="Arial"/>
          <w:b/>
          <w:bCs/>
        </w:rPr>
        <w:t>)</w:t>
      </w:r>
    </w:p>
    <w:p w14:paraId="7468A819" w14:textId="2616C6F4" w:rsidR="00D116E7" w:rsidRPr="00C30FAA" w:rsidRDefault="00D116E7" w:rsidP="009D0858">
      <w:pPr>
        <w:rPr>
          <w:rFonts w:cs="Arial"/>
          <w:color w:val="365F91" w:themeColor="accent1" w:themeShade="BF"/>
        </w:rPr>
      </w:pPr>
      <w:r>
        <w:rPr>
          <w:rFonts w:cs="Arial"/>
        </w:rPr>
        <w:t xml:space="preserve">I fully expect students to use all available tools and technologies to produce their best work. When you use automated writing tools (Moonbeam, </w:t>
      </w:r>
      <w:proofErr w:type="spellStart"/>
      <w:r>
        <w:rPr>
          <w:rFonts w:cs="Arial"/>
        </w:rPr>
        <w:t>ChatGPT</w:t>
      </w:r>
      <w:proofErr w:type="spellEnd"/>
      <w:r>
        <w:rPr>
          <w:rFonts w:cs="Arial"/>
        </w:rPr>
        <w:t xml:space="preserve">), please include in the appendix the process of use. For example, include the prompt for producing text and the </w:t>
      </w:r>
      <w:proofErr w:type="gramStart"/>
      <w:r>
        <w:rPr>
          <w:rFonts w:cs="Arial"/>
        </w:rPr>
        <w:t>first generation</w:t>
      </w:r>
      <w:proofErr w:type="gramEnd"/>
      <w:r>
        <w:rPr>
          <w:rFonts w:cs="Arial"/>
        </w:rPr>
        <w:t xml:space="preserve"> version and subsequent adjustments that you make or that you re-process with AI tools. The intent is for you to intentionally detail how you produce writing and the ways that AI shapes your output.</w:t>
      </w:r>
    </w:p>
    <w:p w14:paraId="70863716" w14:textId="77777777" w:rsidR="00766DC7" w:rsidRPr="000D7CC4" w:rsidRDefault="00766DC7" w:rsidP="00766DC7">
      <w:pPr>
        <w:pStyle w:val="Heading2"/>
      </w:pPr>
      <w:r>
        <w:t xml:space="preserve">Course </w:t>
      </w:r>
      <w:r w:rsidRPr="003611E2">
        <w:t>Schedule</w:t>
      </w:r>
    </w:p>
    <w:p w14:paraId="5F97E447" w14:textId="3FD5768C" w:rsidR="00812550"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7B31A1C3" w14:textId="77777777" w:rsidR="00F11DB4" w:rsidRDefault="00F11DB4"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525007" w:rsidRPr="00160D21" w14:paraId="6540EBEB" w14:textId="77777777" w:rsidTr="00744B34">
        <w:tc>
          <w:tcPr>
            <w:tcW w:w="823" w:type="dxa"/>
            <w:tcBorders>
              <w:top w:val="single" w:sz="12" w:space="0" w:color="auto"/>
              <w:left w:val="nil"/>
              <w:bottom w:val="single" w:sz="12" w:space="0" w:color="auto"/>
              <w:right w:val="nil"/>
            </w:tcBorders>
          </w:tcPr>
          <w:p w14:paraId="7E10D6A2" w14:textId="77777777" w:rsidR="00525007" w:rsidRPr="00160D21" w:rsidRDefault="00525007" w:rsidP="00744B34">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67070D4B" w14:textId="77777777" w:rsidR="00525007" w:rsidRPr="00160D21" w:rsidRDefault="00525007" w:rsidP="00744B34">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1495ED9C" w14:textId="77777777" w:rsidR="00525007" w:rsidRPr="00160D21" w:rsidRDefault="00525007" w:rsidP="00744B34">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56C93AB5" w14:textId="77777777" w:rsidR="00525007" w:rsidRPr="00160D21" w:rsidRDefault="00525007" w:rsidP="00744B34">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0DE2513" w14:textId="77777777" w:rsidR="00525007" w:rsidRPr="00160D21" w:rsidRDefault="00525007" w:rsidP="00744B34">
            <w:pPr>
              <w:rPr>
                <w:rFonts w:cs="Arial"/>
                <w:b/>
                <w:bCs/>
                <w:color w:val="365F91" w:themeColor="accent1" w:themeShade="BF"/>
              </w:rPr>
            </w:pPr>
            <w:r w:rsidRPr="00160D21">
              <w:rPr>
                <w:rFonts w:cs="Arial"/>
                <w:b/>
              </w:rPr>
              <w:t>Comment</w:t>
            </w:r>
          </w:p>
        </w:tc>
      </w:tr>
      <w:tr w:rsidR="00525007" w:rsidRPr="00160D21" w14:paraId="5215E8DB" w14:textId="77777777" w:rsidTr="00744B34">
        <w:tc>
          <w:tcPr>
            <w:tcW w:w="823" w:type="dxa"/>
            <w:tcBorders>
              <w:top w:val="single" w:sz="12" w:space="0" w:color="auto"/>
              <w:left w:val="nil"/>
              <w:bottom w:val="single" w:sz="2" w:space="0" w:color="auto"/>
              <w:right w:val="nil"/>
            </w:tcBorders>
            <w:vAlign w:val="center"/>
          </w:tcPr>
          <w:p w14:paraId="06A7820C" w14:textId="77777777" w:rsidR="00525007" w:rsidRPr="00160D21" w:rsidRDefault="00525007" w:rsidP="00744B34">
            <w:pPr>
              <w:rPr>
                <w:rFonts w:cs="Arial"/>
                <w:color w:val="365F91" w:themeColor="accent1" w:themeShade="BF"/>
              </w:rPr>
            </w:pPr>
            <w:r w:rsidRPr="00160D21">
              <w:rPr>
                <w:rFonts w:cs="Arial"/>
              </w:rPr>
              <w:lastRenderedPageBreak/>
              <w:t>W1</w:t>
            </w:r>
          </w:p>
        </w:tc>
        <w:tc>
          <w:tcPr>
            <w:tcW w:w="1007" w:type="dxa"/>
            <w:tcBorders>
              <w:top w:val="single" w:sz="12" w:space="0" w:color="auto"/>
              <w:left w:val="nil"/>
              <w:bottom w:val="single" w:sz="2" w:space="0" w:color="auto"/>
              <w:right w:val="nil"/>
            </w:tcBorders>
            <w:vAlign w:val="center"/>
          </w:tcPr>
          <w:p w14:paraId="6334C5F9" w14:textId="158B2CD6" w:rsidR="00525007" w:rsidRPr="00160D21" w:rsidRDefault="00525007" w:rsidP="00744B34">
            <w:pPr>
              <w:rPr>
                <w:rFonts w:cs="Arial"/>
                <w:color w:val="365F91" w:themeColor="accent1" w:themeShade="BF"/>
              </w:rPr>
            </w:pPr>
            <w:r>
              <w:rPr>
                <w:rFonts w:cs="Arial"/>
              </w:rPr>
              <w:t>Jan 1</w:t>
            </w:r>
            <w:r w:rsidR="0053120B">
              <w:rPr>
                <w:rFonts w:cs="Arial"/>
              </w:rPr>
              <w:t>7</w:t>
            </w:r>
            <w:r w:rsidRPr="00160D21">
              <w:rPr>
                <w:rFonts w:cs="Arial"/>
              </w:rPr>
              <w:t xml:space="preserve"> – </w:t>
            </w:r>
          </w:p>
          <w:p w14:paraId="7A9BC376" w14:textId="1FE4D5A9" w:rsidR="00525007" w:rsidRPr="00160D21" w:rsidRDefault="00525007" w:rsidP="00744B34">
            <w:pPr>
              <w:rPr>
                <w:rFonts w:cs="Arial"/>
                <w:color w:val="365F91" w:themeColor="accent1" w:themeShade="BF"/>
              </w:rPr>
            </w:pPr>
            <w:r>
              <w:rPr>
                <w:rFonts w:cs="Arial"/>
              </w:rPr>
              <w:t>Jan</w:t>
            </w:r>
            <w:r w:rsidRPr="00160D21">
              <w:rPr>
                <w:rFonts w:cs="Arial"/>
              </w:rPr>
              <w:t xml:space="preserve"> </w:t>
            </w:r>
            <w:r>
              <w:rPr>
                <w:rFonts w:cs="Arial"/>
              </w:rPr>
              <w:t>2</w:t>
            </w:r>
            <w:r w:rsidR="0053120B">
              <w:rPr>
                <w:rFonts w:cs="Arial"/>
              </w:rPr>
              <w:t>2</w:t>
            </w:r>
          </w:p>
        </w:tc>
        <w:tc>
          <w:tcPr>
            <w:tcW w:w="4128" w:type="dxa"/>
            <w:tcBorders>
              <w:top w:val="single" w:sz="12" w:space="0" w:color="auto"/>
              <w:left w:val="nil"/>
              <w:bottom w:val="single" w:sz="2" w:space="0" w:color="auto"/>
              <w:right w:val="nil"/>
            </w:tcBorders>
            <w:vAlign w:val="center"/>
          </w:tcPr>
          <w:p w14:paraId="44A6762F" w14:textId="18877D31" w:rsidR="00525007" w:rsidRPr="00160D21" w:rsidRDefault="00525007" w:rsidP="00744B34">
            <w:pPr>
              <w:rPr>
                <w:rFonts w:cs="Arial"/>
                <w:color w:val="365F91" w:themeColor="accent1" w:themeShade="BF"/>
              </w:rPr>
            </w:pPr>
            <w:r w:rsidRPr="00160D21">
              <w:rPr>
                <w:rFonts w:cs="Arial"/>
              </w:rPr>
              <w:t>Orientation</w:t>
            </w:r>
            <w:r w:rsidR="00AD3471">
              <w:rPr>
                <w:rFonts w:cs="Arial"/>
              </w:rPr>
              <w:t xml:space="preserve"> &amp; Course Overview</w:t>
            </w:r>
            <w:r w:rsidR="001104CF">
              <w:rPr>
                <w:rFonts w:cs="Arial"/>
              </w:rPr>
              <w:t xml:space="preserve">: </w:t>
            </w:r>
            <w:r w:rsidR="00233799">
              <w:rPr>
                <w:rFonts w:cs="Arial"/>
              </w:rPr>
              <w:t>What does the human-machine intersection look like?</w:t>
            </w:r>
          </w:p>
        </w:tc>
        <w:tc>
          <w:tcPr>
            <w:tcW w:w="1783" w:type="dxa"/>
            <w:tcBorders>
              <w:top w:val="single" w:sz="12" w:space="0" w:color="auto"/>
              <w:left w:val="nil"/>
              <w:bottom w:val="single" w:sz="2" w:space="0" w:color="auto"/>
              <w:right w:val="nil"/>
            </w:tcBorders>
            <w:vAlign w:val="center"/>
          </w:tcPr>
          <w:p w14:paraId="4110CDB4" w14:textId="77777777" w:rsidR="00525007" w:rsidRPr="00160D21" w:rsidRDefault="00525007" w:rsidP="00744B34">
            <w:pPr>
              <w:rPr>
                <w:rFonts w:cs="Arial"/>
                <w:color w:val="365F91" w:themeColor="accent1" w:themeShade="BF"/>
              </w:rPr>
            </w:pPr>
          </w:p>
        </w:tc>
        <w:tc>
          <w:tcPr>
            <w:tcW w:w="1913" w:type="dxa"/>
            <w:tcBorders>
              <w:top w:val="single" w:sz="12" w:space="0" w:color="auto"/>
              <w:left w:val="nil"/>
              <w:bottom w:val="single" w:sz="2" w:space="0" w:color="auto"/>
              <w:right w:val="nil"/>
            </w:tcBorders>
          </w:tcPr>
          <w:p w14:paraId="3CB04A0F" w14:textId="77777777" w:rsidR="00525007" w:rsidRPr="00160D21" w:rsidRDefault="00525007" w:rsidP="00744B34">
            <w:pPr>
              <w:rPr>
                <w:rFonts w:cs="Arial"/>
                <w:color w:val="000000" w:themeColor="text1"/>
              </w:rPr>
            </w:pPr>
            <w:r>
              <w:rPr>
                <w:rFonts w:cs="Arial"/>
                <w:color w:val="000000" w:themeColor="text1"/>
              </w:rPr>
              <w:t>Course overview, assignments, expectations</w:t>
            </w:r>
            <w:r w:rsidRPr="00160D21">
              <w:rPr>
                <w:rFonts w:cs="Arial"/>
                <w:color w:val="000000" w:themeColor="text1"/>
              </w:rPr>
              <w:t xml:space="preserve">. </w:t>
            </w:r>
          </w:p>
        </w:tc>
      </w:tr>
      <w:tr w:rsidR="00525007" w:rsidRPr="00160D21" w14:paraId="42D215CC" w14:textId="77777777" w:rsidTr="00744B34">
        <w:tc>
          <w:tcPr>
            <w:tcW w:w="823" w:type="dxa"/>
            <w:tcBorders>
              <w:top w:val="single" w:sz="2" w:space="0" w:color="auto"/>
              <w:left w:val="nil"/>
              <w:bottom w:val="single" w:sz="2" w:space="0" w:color="auto"/>
              <w:right w:val="nil"/>
            </w:tcBorders>
            <w:vAlign w:val="center"/>
          </w:tcPr>
          <w:p w14:paraId="2D92F75F" w14:textId="77777777" w:rsidR="00525007" w:rsidRPr="00160D21" w:rsidRDefault="00525007" w:rsidP="00744B34">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7A28BADE" w14:textId="0746DFBA" w:rsidR="00525007" w:rsidRDefault="00525007" w:rsidP="00744B34">
            <w:pPr>
              <w:rPr>
                <w:rFonts w:cs="Arial"/>
              </w:rPr>
            </w:pPr>
            <w:r>
              <w:rPr>
                <w:rFonts w:cs="Arial"/>
              </w:rPr>
              <w:t>Jan 2</w:t>
            </w:r>
            <w:r w:rsidR="0053120B">
              <w:rPr>
                <w:rFonts w:cs="Arial"/>
              </w:rPr>
              <w:t>3</w:t>
            </w:r>
            <w:r w:rsidRPr="00160D21">
              <w:rPr>
                <w:rFonts w:cs="Arial"/>
              </w:rPr>
              <w:t xml:space="preserve"> – </w:t>
            </w:r>
          </w:p>
          <w:p w14:paraId="0795E22B" w14:textId="4E05A48B" w:rsidR="00525007" w:rsidRPr="00160D21" w:rsidRDefault="00525007" w:rsidP="00744B34">
            <w:pPr>
              <w:rPr>
                <w:rFonts w:cs="Arial"/>
              </w:rPr>
            </w:pPr>
            <w:r>
              <w:rPr>
                <w:rFonts w:cs="Arial"/>
              </w:rPr>
              <w:t xml:space="preserve">Jan </w:t>
            </w:r>
            <w:r w:rsidR="0053120B">
              <w:rPr>
                <w:rFonts w:cs="Arial"/>
              </w:rPr>
              <w:t>29</w:t>
            </w:r>
          </w:p>
        </w:tc>
        <w:tc>
          <w:tcPr>
            <w:tcW w:w="4128" w:type="dxa"/>
            <w:tcBorders>
              <w:top w:val="single" w:sz="2" w:space="0" w:color="auto"/>
              <w:left w:val="nil"/>
              <w:bottom w:val="single" w:sz="2" w:space="0" w:color="auto"/>
              <w:right w:val="nil"/>
            </w:tcBorders>
            <w:vAlign w:val="center"/>
          </w:tcPr>
          <w:p w14:paraId="1C12477E" w14:textId="5CAF7001" w:rsidR="00525007" w:rsidRPr="00160D21" w:rsidRDefault="00493FD7" w:rsidP="00744B34">
            <w:pPr>
              <w:rPr>
                <w:rFonts w:cs="Arial"/>
              </w:rPr>
            </w:pPr>
            <w:r>
              <w:rPr>
                <w:rFonts w:cs="Arial"/>
              </w:rPr>
              <w:t>Surveying the landscape</w:t>
            </w:r>
            <w:r w:rsidR="00233799">
              <w:rPr>
                <w:rFonts w:cs="Arial"/>
              </w:rPr>
              <w:t>: HCI, AIED, Cognitive Psychology</w:t>
            </w:r>
            <w:r>
              <w:rPr>
                <w:rFonts w:cs="Arial"/>
              </w:rPr>
              <w:t>, LA, LS</w:t>
            </w:r>
          </w:p>
        </w:tc>
        <w:tc>
          <w:tcPr>
            <w:tcW w:w="1783" w:type="dxa"/>
            <w:tcBorders>
              <w:top w:val="single" w:sz="2" w:space="0" w:color="auto"/>
              <w:left w:val="nil"/>
              <w:bottom w:val="single" w:sz="2" w:space="0" w:color="auto"/>
              <w:right w:val="nil"/>
            </w:tcBorders>
            <w:vAlign w:val="center"/>
          </w:tcPr>
          <w:p w14:paraId="044D6546" w14:textId="17A43C1B" w:rsidR="00525007" w:rsidRPr="00A74BB1" w:rsidRDefault="001C3AC6" w:rsidP="00744B34">
            <w:pPr>
              <w:rPr>
                <w:rFonts w:cs="Arial"/>
                <w:color w:val="000000" w:themeColor="text1"/>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2832E042" w14:textId="77777777" w:rsidR="00525007" w:rsidRPr="00160D21" w:rsidRDefault="00525007" w:rsidP="00744B34">
            <w:pPr>
              <w:rPr>
                <w:rFonts w:cs="Arial"/>
                <w:color w:val="365F91" w:themeColor="accent1" w:themeShade="BF"/>
              </w:rPr>
            </w:pPr>
          </w:p>
        </w:tc>
      </w:tr>
      <w:tr w:rsidR="00525007" w:rsidRPr="00160D21" w14:paraId="2E52D7C8" w14:textId="77777777" w:rsidTr="00744B34">
        <w:tc>
          <w:tcPr>
            <w:tcW w:w="823" w:type="dxa"/>
            <w:tcBorders>
              <w:top w:val="single" w:sz="2" w:space="0" w:color="auto"/>
              <w:left w:val="nil"/>
              <w:bottom w:val="single" w:sz="2" w:space="0" w:color="auto"/>
              <w:right w:val="nil"/>
            </w:tcBorders>
            <w:vAlign w:val="center"/>
          </w:tcPr>
          <w:p w14:paraId="109B1A70" w14:textId="77777777" w:rsidR="00525007" w:rsidRPr="00160D21" w:rsidRDefault="00525007" w:rsidP="00744B34">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295200AC" w14:textId="28F14377" w:rsidR="00525007" w:rsidRDefault="00525007" w:rsidP="00744B34">
            <w:pPr>
              <w:rPr>
                <w:rFonts w:cs="Arial"/>
              </w:rPr>
            </w:pPr>
            <w:r>
              <w:rPr>
                <w:rFonts w:cs="Arial"/>
              </w:rPr>
              <w:t>Jan 3</w:t>
            </w:r>
            <w:r w:rsidR="0053120B">
              <w:rPr>
                <w:rFonts w:cs="Arial"/>
              </w:rPr>
              <w:t>0</w:t>
            </w:r>
            <w:r w:rsidRPr="00160D21">
              <w:rPr>
                <w:rFonts w:cs="Arial"/>
              </w:rPr>
              <w:t xml:space="preserve"> – </w:t>
            </w:r>
          </w:p>
          <w:p w14:paraId="49F092FC" w14:textId="4358DA9E" w:rsidR="00525007" w:rsidRPr="00160D21" w:rsidRDefault="00525007" w:rsidP="00744B34">
            <w:pPr>
              <w:rPr>
                <w:rFonts w:cs="Arial"/>
                <w:color w:val="365F91" w:themeColor="accent1" w:themeShade="BF"/>
              </w:rPr>
            </w:pPr>
            <w:r>
              <w:rPr>
                <w:rFonts w:cs="Arial"/>
              </w:rPr>
              <w:t xml:space="preserve">Feb </w:t>
            </w:r>
            <w:r w:rsidR="0053120B">
              <w:rPr>
                <w:rFonts w:cs="Arial"/>
              </w:rPr>
              <w:t>5</w:t>
            </w:r>
          </w:p>
        </w:tc>
        <w:tc>
          <w:tcPr>
            <w:tcW w:w="4128" w:type="dxa"/>
            <w:tcBorders>
              <w:top w:val="single" w:sz="2" w:space="0" w:color="auto"/>
              <w:left w:val="nil"/>
              <w:bottom w:val="single" w:sz="2" w:space="0" w:color="auto"/>
              <w:right w:val="nil"/>
            </w:tcBorders>
            <w:vAlign w:val="center"/>
          </w:tcPr>
          <w:p w14:paraId="2D43B8D8" w14:textId="10FF0760" w:rsidR="00525007" w:rsidRPr="00160D21" w:rsidRDefault="00233799" w:rsidP="00744B34">
            <w:pPr>
              <w:rPr>
                <w:rFonts w:cs="Arial"/>
                <w:color w:val="365F91" w:themeColor="accent1" w:themeShade="BF"/>
              </w:rPr>
            </w:pPr>
            <w:r>
              <w:rPr>
                <w:rFonts w:cs="Arial"/>
              </w:rPr>
              <w:t>Cognitive sciences and cognitive processes</w:t>
            </w:r>
          </w:p>
        </w:tc>
        <w:tc>
          <w:tcPr>
            <w:tcW w:w="1783" w:type="dxa"/>
            <w:tcBorders>
              <w:top w:val="single" w:sz="2" w:space="0" w:color="auto"/>
              <w:left w:val="nil"/>
              <w:bottom w:val="single" w:sz="2" w:space="0" w:color="auto"/>
              <w:right w:val="nil"/>
            </w:tcBorders>
            <w:vAlign w:val="center"/>
          </w:tcPr>
          <w:p w14:paraId="1A171482" w14:textId="6DE2BCAE" w:rsidR="00525007" w:rsidRPr="00AD3471" w:rsidRDefault="001C3AC6" w:rsidP="00744B34">
            <w:pPr>
              <w:rPr>
                <w:rFonts w:cs="Arial"/>
                <w:color w:val="000000" w:themeColor="text1"/>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027A7122" w14:textId="77777777" w:rsidR="00525007" w:rsidRPr="00160D21" w:rsidRDefault="00525007" w:rsidP="00744B34">
            <w:pPr>
              <w:rPr>
                <w:rFonts w:cs="Arial"/>
                <w:color w:val="365F91" w:themeColor="accent1" w:themeShade="BF"/>
              </w:rPr>
            </w:pPr>
          </w:p>
        </w:tc>
      </w:tr>
      <w:tr w:rsidR="00525007" w:rsidRPr="00160D21" w14:paraId="4FFA3911" w14:textId="77777777" w:rsidTr="00744B34">
        <w:tc>
          <w:tcPr>
            <w:tcW w:w="823" w:type="dxa"/>
            <w:tcBorders>
              <w:top w:val="single" w:sz="2" w:space="0" w:color="auto"/>
              <w:left w:val="nil"/>
              <w:bottom w:val="single" w:sz="2" w:space="0" w:color="auto"/>
              <w:right w:val="nil"/>
            </w:tcBorders>
            <w:vAlign w:val="center"/>
          </w:tcPr>
          <w:p w14:paraId="3B2CD080" w14:textId="77777777" w:rsidR="00525007" w:rsidRPr="00160D21" w:rsidRDefault="00525007" w:rsidP="00744B34">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41479BDC" w14:textId="0499CEC2" w:rsidR="00525007" w:rsidRPr="00160D21" w:rsidRDefault="00525007" w:rsidP="00744B34">
            <w:pPr>
              <w:rPr>
                <w:rFonts w:cs="Arial"/>
                <w:color w:val="365F91" w:themeColor="accent1" w:themeShade="BF"/>
              </w:rPr>
            </w:pPr>
            <w:r>
              <w:rPr>
                <w:rFonts w:cs="Arial"/>
              </w:rPr>
              <w:t xml:space="preserve">Feb </w:t>
            </w:r>
            <w:r w:rsidR="0053120B">
              <w:rPr>
                <w:rFonts w:cs="Arial"/>
              </w:rPr>
              <w:t>6</w:t>
            </w:r>
            <w:r w:rsidRPr="00160D21">
              <w:rPr>
                <w:rFonts w:cs="Arial"/>
              </w:rPr>
              <w:t xml:space="preserve"> –</w:t>
            </w:r>
            <w:r>
              <w:rPr>
                <w:rFonts w:cs="Arial"/>
              </w:rPr>
              <w:t xml:space="preserve"> Feb 1</w:t>
            </w:r>
            <w:r w:rsidR="0053120B">
              <w:rPr>
                <w:rFonts w:cs="Arial"/>
              </w:rPr>
              <w:t>2</w:t>
            </w:r>
          </w:p>
        </w:tc>
        <w:tc>
          <w:tcPr>
            <w:tcW w:w="4128" w:type="dxa"/>
            <w:tcBorders>
              <w:top w:val="single" w:sz="2" w:space="0" w:color="auto"/>
              <w:left w:val="nil"/>
              <w:bottom w:val="single" w:sz="2" w:space="0" w:color="auto"/>
              <w:right w:val="nil"/>
            </w:tcBorders>
            <w:vAlign w:val="center"/>
          </w:tcPr>
          <w:p w14:paraId="73332D32" w14:textId="7A8B644E" w:rsidR="00525007" w:rsidRPr="00160D21" w:rsidRDefault="00493FD7" w:rsidP="00744B34">
            <w:pPr>
              <w:rPr>
                <w:rFonts w:cs="Arial"/>
                <w:color w:val="365F91" w:themeColor="accent1" w:themeShade="BF"/>
              </w:rPr>
            </w:pPr>
            <w:r>
              <w:rPr>
                <w:rFonts w:cs="Arial"/>
              </w:rPr>
              <w:t>N</w:t>
            </w:r>
            <w:r w:rsidR="00233799">
              <w:rPr>
                <w:rFonts w:cs="Arial"/>
              </w:rPr>
              <w:t>euroscience</w:t>
            </w:r>
            <w:r>
              <w:rPr>
                <w:rFonts w:cs="Arial"/>
              </w:rPr>
              <w:t xml:space="preserve"> and neural networks</w:t>
            </w:r>
            <w:r w:rsidR="001104CF">
              <w:rPr>
                <w:rFonts w:cs="Arial"/>
              </w:rPr>
              <w:t xml:space="preserve"> </w:t>
            </w:r>
          </w:p>
        </w:tc>
        <w:tc>
          <w:tcPr>
            <w:tcW w:w="1783" w:type="dxa"/>
            <w:tcBorders>
              <w:top w:val="single" w:sz="2" w:space="0" w:color="auto"/>
              <w:left w:val="nil"/>
              <w:bottom w:val="single" w:sz="2" w:space="0" w:color="auto"/>
              <w:right w:val="nil"/>
            </w:tcBorders>
            <w:vAlign w:val="center"/>
          </w:tcPr>
          <w:p w14:paraId="0D59D50C" w14:textId="2E6D57A0" w:rsidR="00525007" w:rsidRPr="00A74BB1" w:rsidRDefault="001C3AC6" w:rsidP="00744B34">
            <w:pPr>
              <w:rPr>
                <w:rFonts w:cs="Arial"/>
                <w:color w:val="000000" w:themeColor="text1"/>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4A4EE6D4" w14:textId="77777777" w:rsidR="00525007" w:rsidRPr="00160D21" w:rsidRDefault="00525007" w:rsidP="00744B34">
            <w:pPr>
              <w:rPr>
                <w:rFonts w:cs="Arial"/>
                <w:color w:val="365F91" w:themeColor="accent1" w:themeShade="BF"/>
              </w:rPr>
            </w:pPr>
          </w:p>
        </w:tc>
      </w:tr>
      <w:tr w:rsidR="00525007" w:rsidRPr="00160D21" w14:paraId="68C88AD6" w14:textId="77777777" w:rsidTr="00744B34">
        <w:tc>
          <w:tcPr>
            <w:tcW w:w="823" w:type="dxa"/>
            <w:tcBorders>
              <w:top w:val="single" w:sz="2" w:space="0" w:color="auto"/>
              <w:left w:val="nil"/>
              <w:bottom w:val="single" w:sz="2" w:space="0" w:color="auto"/>
              <w:right w:val="nil"/>
            </w:tcBorders>
            <w:vAlign w:val="center"/>
          </w:tcPr>
          <w:p w14:paraId="4D6C2A26" w14:textId="77777777" w:rsidR="00525007" w:rsidRPr="00160D21" w:rsidRDefault="00525007" w:rsidP="00744B34">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4999E000" w14:textId="0635CB2E" w:rsidR="00525007" w:rsidRDefault="00525007" w:rsidP="00744B34">
            <w:pPr>
              <w:rPr>
                <w:rFonts w:cs="Arial"/>
              </w:rPr>
            </w:pPr>
            <w:r>
              <w:rPr>
                <w:rFonts w:cs="Arial"/>
              </w:rPr>
              <w:t>Feb 1</w:t>
            </w:r>
            <w:r w:rsidR="0053120B">
              <w:rPr>
                <w:rFonts w:cs="Arial"/>
              </w:rPr>
              <w:t>3</w:t>
            </w:r>
            <w:r w:rsidRPr="00160D21">
              <w:rPr>
                <w:rFonts w:cs="Arial"/>
              </w:rPr>
              <w:t xml:space="preserve"> – </w:t>
            </w:r>
          </w:p>
          <w:p w14:paraId="2F3344EE" w14:textId="10C0409C" w:rsidR="00525007" w:rsidRPr="00160D21" w:rsidRDefault="00525007" w:rsidP="00744B34">
            <w:pPr>
              <w:rPr>
                <w:rFonts w:cs="Arial"/>
                <w:color w:val="365F91" w:themeColor="accent1" w:themeShade="BF"/>
              </w:rPr>
            </w:pPr>
            <w:r>
              <w:rPr>
                <w:rFonts w:cs="Arial"/>
              </w:rPr>
              <w:t xml:space="preserve">Feb </w:t>
            </w:r>
            <w:r w:rsidR="0053120B">
              <w:rPr>
                <w:rFonts w:cs="Arial"/>
              </w:rPr>
              <w:t>19</w:t>
            </w:r>
          </w:p>
        </w:tc>
        <w:tc>
          <w:tcPr>
            <w:tcW w:w="4128" w:type="dxa"/>
            <w:tcBorders>
              <w:top w:val="single" w:sz="2" w:space="0" w:color="auto"/>
              <w:left w:val="nil"/>
              <w:bottom w:val="single" w:sz="2" w:space="0" w:color="auto"/>
              <w:right w:val="nil"/>
            </w:tcBorders>
            <w:vAlign w:val="center"/>
          </w:tcPr>
          <w:p w14:paraId="5CE82BA3" w14:textId="7C83D7E7" w:rsidR="00525007" w:rsidRPr="00160D21" w:rsidRDefault="00233799" w:rsidP="00744B34">
            <w:pPr>
              <w:rPr>
                <w:rFonts w:cs="Arial"/>
                <w:color w:val="365F91" w:themeColor="accent1" w:themeShade="BF"/>
              </w:rPr>
            </w:pPr>
            <w:r>
              <w:rPr>
                <w:rFonts w:cs="Arial"/>
              </w:rPr>
              <w:t>Philosophical perspectives of uniquely human cognition</w:t>
            </w:r>
            <w:r w:rsidR="001104CF">
              <w:rPr>
                <w:rFonts w:cs="Arial"/>
              </w:rPr>
              <w:t xml:space="preserve"> </w:t>
            </w:r>
          </w:p>
        </w:tc>
        <w:tc>
          <w:tcPr>
            <w:tcW w:w="1783" w:type="dxa"/>
            <w:tcBorders>
              <w:top w:val="single" w:sz="2" w:space="0" w:color="auto"/>
              <w:left w:val="nil"/>
              <w:bottom w:val="single" w:sz="2" w:space="0" w:color="auto"/>
              <w:right w:val="nil"/>
            </w:tcBorders>
            <w:vAlign w:val="center"/>
          </w:tcPr>
          <w:p w14:paraId="51DEE980" w14:textId="33C75BA2" w:rsidR="00525007" w:rsidRPr="00160D21" w:rsidRDefault="001C3AC6" w:rsidP="00744B34">
            <w:pPr>
              <w:rPr>
                <w:rFonts w:cs="Arial"/>
                <w:color w:val="365F91" w:themeColor="accent1" w:themeShade="BF"/>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6FB0B2CE" w14:textId="77777777" w:rsidR="00525007" w:rsidRPr="00160D21" w:rsidRDefault="00525007" w:rsidP="00744B34">
            <w:pPr>
              <w:rPr>
                <w:rFonts w:cs="Arial"/>
                <w:color w:val="365F91" w:themeColor="accent1" w:themeShade="BF"/>
              </w:rPr>
            </w:pPr>
          </w:p>
        </w:tc>
      </w:tr>
      <w:tr w:rsidR="00525007" w:rsidRPr="00160D21" w14:paraId="08C8768E" w14:textId="77777777" w:rsidTr="00744B34">
        <w:tc>
          <w:tcPr>
            <w:tcW w:w="823" w:type="dxa"/>
            <w:tcBorders>
              <w:top w:val="single" w:sz="2" w:space="0" w:color="auto"/>
              <w:left w:val="nil"/>
              <w:bottom w:val="single" w:sz="2" w:space="0" w:color="auto"/>
              <w:right w:val="nil"/>
            </w:tcBorders>
            <w:vAlign w:val="center"/>
          </w:tcPr>
          <w:p w14:paraId="70831346" w14:textId="77777777" w:rsidR="00525007" w:rsidRPr="00160D21" w:rsidRDefault="00525007" w:rsidP="00744B34">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6F8754F8" w14:textId="2ABF2BCD" w:rsidR="00525007" w:rsidRDefault="00525007" w:rsidP="00744B34">
            <w:pPr>
              <w:rPr>
                <w:rFonts w:cs="Arial"/>
              </w:rPr>
            </w:pPr>
            <w:r>
              <w:rPr>
                <w:rFonts w:cs="Arial"/>
              </w:rPr>
              <w:t>Feb 2</w:t>
            </w:r>
            <w:r w:rsidR="0053120B">
              <w:rPr>
                <w:rFonts w:cs="Arial"/>
              </w:rPr>
              <w:t>0</w:t>
            </w:r>
            <w:r w:rsidRPr="00160D21">
              <w:rPr>
                <w:rFonts w:cs="Arial"/>
              </w:rPr>
              <w:t xml:space="preserve"> – </w:t>
            </w:r>
          </w:p>
          <w:p w14:paraId="35D3A7B4" w14:textId="39709BBC" w:rsidR="00525007" w:rsidRPr="00160D21" w:rsidRDefault="00525007" w:rsidP="00744B34">
            <w:pPr>
              <w:rPr>
                <w:rFonts w:cs="Arial"/>
                <w:color w:val="365F91" w:themeColor="accent1" w:themeShade="BF"/>
              </w:rPr>
            </w:pPr>
            <w:r>
              <w:rPr>
                <w:rFonts w:cs="Arial"/>
              </w:rPr>
              <w:t>Feb 2</w:t>
            </w:r>
            <w:r w:rsidR="0053120B">
              <w:rPr>
                <w:rFonts w:cs="Arial"/>
              </w:rPr>
              <w:t>6</w:t>
            </w:r>
          </w:p>
        </w:tc>
        <w:tc>
          <w:tcPr>
            <w:tcW w:w="4128" w:type="dxa"/>
            <w:tcBorders>
              <w:top w:val="single" w:sz="2" w:space="0" w:color="auto"/>
              <w:left w:val="nil"/>
              <w:bottom w:val="single" w:sz="2" w:space="0" w:color="auto"/>
              <w:right w:val="nil"/>
            </w:tcBorders>
            <w:vAlign w:val="center"/>
          </w:tcPr>
          <w:p w14:paraId="13D576BD" w14:textId="3307EFB2" w:rsidR="00525007" w:rsidRPr="00160D21" w:rsidRDefault="00233799" w:rsidP="00744B34">
            <w:pPr>
              <w:rPr>
                <w:rFonts w:cs="Arial"/>
                <w:color w:val="365F91" w:themeColor="accent1" w:themeShade="BF"/>
              </w:rPr>
            </w:pPr>
            <w:r>
              <w:rPr>
                <w:rFonts w:cs="Arial"/>
                <w:color w:val="000000" w:themeColor="text1"/>
              </w:rPr>
              <w:t>The historical roots of AI: symbolic, GOFAI</w:t>
            </w:r>
            <w:r w:rsidR="001104CF">
              <w:rPr>
                <w:rFonts w:cs="Arial"/>
                <w:color w:val="000000" w:themeColor="text1"/>
              </w:rPr>
              <w:t xml:space="preserve"> </w:t>
            </w:r>
          </w:p>
        </w:tc>
        <w:tc>
          <w:tcPr>
            <w:tcW w:w="1783" w:type="dxa"/>
            <w:tcBorders>
              <w:top w:val="single" w:sz="2" w:space="0" w:color="auto"/>
              <w:left w:val="nil"/>
              <w:bottom w:val="single" w:sz="2" w:space="0" w:color="auto"/>
              <w:right w:val="nil"/>
            </w:tcBorders>
            <w:vAlign w:val="center"/>
          </w:tcPr>
          <w:p w14:paraId="7F38FC09" w14:textId="02132CC6" w:rsidR="00525007" w:rsidRPr="00A74BB1" w:rsidRDefault="001C3AC6" w:rsidP="00744B34">
            <w:pPr>
              <w:rPr>
                <w:rFonts w:cs="Arial"/>
                <w:color w:val="000000" w:themeColor="text1"/>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4829DB22" w14:textId="77777777" w:rsidR="00525007" w:rsidRPr="00160D21" w:rsidRDefault="00525007" w:rsidP="00744B34">
            <w:pPr>
              <w:rPr>
                <w:rFonts w:cs="Arial"/>
                <w:color w:val="365F91" w:themeColor="accent1" w:themeShade="BF"/>
              </w:rPr>
            </w:pPr>
          </w:p>
        </w:tc>
      </w:tr>
      <w:tr w:rsidR="00525007" w:rsidRPr="00160D21" w14:paraId="47A79AC0" w14:textId="77777777" w:rsidTr="00744B34">
        <w:tc>
          <w:tcPr>
            <w:tcW w:w="823" w:type="dxa"/>
            <w:tcBorders>
              <w:top w:val="single" w:sz="2" w:space="0" w:color="auto"/>
              <w:left w:val="nil"/>
              <w:bottom w:val="single" w:sz="2" w:space="0" w:color="auto"/>
              <w:right w:val="nil"/>
            </w:tcBorders>
            <w:vAlign w:val="center"/>
          </w:tcPr>
          <w:p w14:paraId="0D78D8D7" w14:textId="77777777" w:rsidR="00525007" w:rsidRPr="00160D21" w:rsidRDefault="00525007" w:rsidP="00744B34">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70236CDF" w14:textId="70A4C92A" w:rsidR="00525007" w:rsidRDefault="00525007" w:rsidP="00744B34">
            <w:pPr>
              <w:rPr>
                <w:rFonts w:cs="Arial"/>
              </w:rPr>
            </w:pPr>
            <w:r>
              <w:rPr>
                <w:rFonts w:cs="Arial"/>
              </w:rPr>
              <w:t>Feb 2</w:t>
            </w:r>
            <w:r w:rsidR="0053120B">
              <w:rPr>
                <w:rFonts w:cs="Arial"/>
              </w:rPr>
              <w:t>7</w:t>
            </w:r>
            <w:r w:rsidRPr="00160D21">
              <w:rPr>
                <w:rFonts w:cs="Arial"/>
              </w:rPr>
              <w:t xml:space="preserve"> – </w:t>
            </w:r>
          </w:p>
          <w:p w14:paraId="1A148CC4" w14:textId="6F9DE2E6" w:rsidR="00525007" w:rsidRPr="00160D21" w:rsidRDefault="00525007" w:rsidP="00744B34">
            <w:pPr>
              <w:rPr>
                <w:rFonts w:cs="Arial"/>
                <w:color w:val="365F91" w:themeColor="accent1" w:themeShade="BF"/>
              </w:rPr>
            </w:pPr>
            <w:r>
              <w:rPr>
                <w:rFonts w:cs="Arial"/>
              </w:rPr>
              <w:t xml:space="preserve">Mar </w:t>
            </w:r>
            <w:r w:rsidR="0053120B">
              <w:rPr>
                <w:rFonts w:cs="Arial"/>
              </w:rPr>
              <w:t>5</w:t>
            </w:r>
          </w:p>
        </w:tc>
        <w:tc>
          <w:tcPr>
            <w:tcW w:w="4128" w:type="dxa"/>
            <w:tcBorders>
              <w:top w:val="single" w:sz="2" w:space="0" w:color="auto"/>
              <w:left w:val="nil"/>
              <w:bottom w:val="single" w:sz="2" w:space="0" w:color="auto"/>
              <w:right w:val="nil"/>
            </w:tcBorders>
            <w:vAlign w:val="center"/>
          </w:tcPr>
          <w:p w14:paraId="21690875" w14:textId="5A097CB9" w:rsidR="00525007" w:rsidRPr="00160D21" w:rsidRDefault="00233799" w:rsidP="00744B34">
            <w:pPr>
              <w:rPr>
                <w:rFonts w:cs="Arial"/>
                <w:color w:val="365F91" w:themeColor="accent1" w:themeShade="BF"/>
              </w:rPr>
            </w:pPr>
            <w:r>
              <w:rPr>
                <w:rFonts w:cs="Arial"/>
                <w:color w:val="000000" w:themeColor="text1"/>
              </w:rPr>
              <w:t>The historical roots of AI: Rosenblatt</w:t>
            </w:r>
            <w:r w:rsidR="00EF173E">
              <w:rPr>
                <w:rFonts w:cs="Arial"/>
                <w:color w:val="000000" w:themeColor="text1"/>
              </w:rPr>
              <w:t xml:space="preserve"> and foundations for NN/DL</w:t>
            </w:r>
            <w:r>
              <w:rPr>
                <w:rFonts w:cs="Arial"/>
                <w:color w:val="000000" w:themeColor="text1"/>
              </w:rPr>
              <w:t xml:space="preserve"> </w:t>
            </w:r>
          </w:p>
        </w:tc>
        <w:tc>
          <w:tcPr>
            <w:tcW w:w="1783" w:type="dxa"/>
            <w:tcBorders>
              <w:top w:val="single" w:sz="2" w:space="0" w:color="auto"/>
              <w:left w:val="nil"/>
              <w:bottom w:val="single" w:sz="2" w:space="0" w:color="auto"/>
              <w:right w:val="nil"/>
            </w:tcBorders>
            <w:vAlign w:val="center"/>
          </w:tcPr>
          <w:p w14:paraId="55762E65" w14:textId="4B925515" w:rsidR="00525007" w:rsidRPr="001C3AC6" w:rsidRDefault="00B370B0" w:rsidP="00744B34">
            <w:pPr>
              <w:rPr>
                <w:rFonts w:cs="Arial"/>
                <w:b/>
                <w:bCs/>
                <w:color w:val="365F91" w:themeColor="accent1" w:themeShade="BF"/>
              </w:rPr>
            </w:pPr>
            <w:r w:rsidRPr="001C3AC6">
              <w:rPr>
                <w:rFonts w:cs="Arial"/>
                <w:b/>
                <w:bCs/>
                <w:color w:val="000000" w:themeColor="text1"/>
              </w:rPr>
              <w:t>Creative Artifact Due</w:t>
            </w:r>
          </w:p>
        </w:tc>
        <w:tc>
          <w:tcPr>
            <w:tcW w:w="1913" w:type="dxa"/>
            <w:tcBorders>
              <w:top w:val="single" w:sz="2" w:space="0" w:color="auto"/>
              <w:left w:val="nil"/>
              <w:bottom w:val="single" w:sz="2" w:space="0" w:color="auto"/>
              <w:right w:val="nil"/>
            </w:tcBorders>
          </w:tcPr>
          <w:p w14:paraId="31DEB3E1" w14:textId="77777777" w:rsidR="00525007" w:rsidRPr="00160D21" w:rsidRDefault="00525007" w:rsidP="00744B34">
            <w:pPr>
              <w:rPr>
                <w:rFonts w:cs="Arial"/>
                <w:color w:val="365F91" w:themeColor="accent1" w:themeShade="BF"/>
              </w:rPr>
            </w:pPr>
          </w:p>
        </w:tc>
      </w:tr>
      <w:tr w:rsidR="00525007" w:rsidRPr="00160D21" w14:paraId="7D66F32D" w14:textId="77777777" w:rsidTr="00744B34">
        <w:tc>
          <w:tcPr>
            <w:tcW w:w="823" w:type="dxa"/>
            <w:tcBorders>
              <w:top w:val="single" w:sz="2" w:space="0" w:color="auto"/>
              <w:left w:val="nil"/>
              <w:bottom w:val="single" w:sz="2" w:space="0" w:color="auto"/>
              <w:right w:val="nil"/>
            </w:tcBorders>
            <w:vAlign w:val="center"/>
          </w:tcPr>
          <w:p w14:paraId="03E893B1" w14:textId="77777777" w:rsidR="00525007" w:rsidRPr="00160D21" w:rsidRDefault="00525007" w:rsidP="00744B34">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0C769BE9" w14:textId="038C455D" w:rsidR="00525007" w:rsidRPr="00160D21" w:rsidRDefault="00525007" w:rsidP="00744B34">
            <w:pPr>
              <w:rPr>
                <w:rFonts w:cs="Arial"/>
                <w:color w:val="365F91" w:themeColor="accent1" w:themeShade="BF"/>
              </w:rPr>
            </w:pPr>
            <w:r>
              <w:rPr>
                <w:rFonts w:cs="Arial"/>
              </w:rPr>
              <w:t xml:space="preserve">Mar </w:t>
            </w:r>
            <w:r w:rsidR="0053120B">
              <w:rPr>
                <w:rFonts w:cs="Arial"/>
              </w:rPr>
              <w:t>6</w:t>
            </w:r>
            <w:r w:rsidRPr="00160D21">
              <w:rPr>
                <w:rFonts w:cs="Arial"/>
              </w:rPr>
              <w:t xml:space="preserve"> –</w:t>
            </w:r>
            <w:r>
              <w:rPr>
                <w:rFonts w:cs="Arial"/>
              </w:rPr>
              <w:t xml:space="preserve"> Mar 1</w:t>
            </w:r>
            <w:r w:rsidR="0053120B">
              <w:rPr>
                <w:rFonts w:cs="Arial"/>
              </w:rPr>
              <w:t>2</w:t>
            </w:r>
          </w:p>
        </w:tc>
        <w:tc>
          <w:tcPr>
            <w:tcW w:w="4128" w:type="dxa"/>
            <w:tcBorders>
              <w:top w:val="single" w:sz="2" w:space="0" w:color="auto"/>
              <w:left w:val="nil"/>
              <w:bottom w:val="single" w:sz="2" w:space="0" w:color="auto"/>
              <w:right w:val="nil"/>
            </w:tcBorders>
            <w:vAlign w:val="center"/>
          </w:tcPr>
          <w:p w14:paraId="3D47EC5F" w14:textId="5A1D7C4E" w:rsidR="00525007" w:rsidRPr="00160D21" w:rsidRDefault="001218FF" w:rsidP="00744B34">
            <w:pPr>
              <w:rPr>
                <w:rFonts w:cs="Arial"/>
                <w:color w:val="365F91" w:themeColor="accent1" w:themeShade="BF"/>
              </w:rPr>
            </w:pPr>
            <w:r>
              <w:rPr>
                <w:rFonts w:cs="Arial"/>
              </w:rPr>
              <w:t>AI: Winters and Springs</w:t>
            </w:r>
          </w:p>
        </w:tc>
        <w:tc>
          <w:tcPr>
            <w:tcW w:w="1783" w:type="dxa"/>
            <w:tcBorders>
              <w:top w:val="single" w:sz="2" w:space="0" w:color="auto"/>
              <w:left w:val="nil"/>
              <w:bottom w:val="single" w:sz="2" w:space="0" w:color="auto"/>
              <w:right w:val="nil"/>
            </w:tcBorders>
            <w:vAlign w:val="center"/>
          </w:tcPr>
          <w:p w14:paraId="0B43D13B" w14:textId="34A95004" w:rsidR="00525007" w:rsidRPr="00F640F4" w:rsidRDefault="001C3AC6" w:rsidP="00744B34">
            <w:pPr>
              <w:rPr>
                <w:rFonts w:cs="Arial"/>
                <w:color w:val="000000" w:themeColor="text1"/>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43BE7A4F" w14:textId="77777777" w:rsidR="00525007" w:rsidRPr="00160D21" w:rsidRDefault="00525007" w:rsidP="00744B34">
            <w:pPr>
              <w:rPr>
                <w:rFonts w:cs="Arial"/>
                <w:color w:val="365F91" w:themeColor="accent1" w:themeShade="BF"/>
              </w:rPr>
            </w:pPr>
          </w:p>
        </w:tc>
      </w:tr>
      <w:tr w:rsidR="00525007" w:rsidRPr="00160D21" w14:paraId="7FA599C3" w14:textId="77777777" w:rsidTr="00744B34">
        <w:tc>
          <w:tcPr>
            <w:tcW w:w="823" w:type="dxa"/>
            <w:tcBorders>
              <w:top w:val="single" w:sz="2" w:space="0" w:color="auto"/>
              <w:left w:val="nil"/>
              <w:bottom w:val="single" w:sz="2" w:space="0" w:color="auto"/>
              <w:right w:val="nil"/>
            </w:tcBorders>
            <w:vAlign w:val="center"/>
          </w:tcPr>
          <w:p w14:paraId="718BF450" w14:textId="77777777" w:rsidR="00525007" w:rsidRPr="00160D21" w:rsidRDefault="00525007" w:rsidP="00744B34">
            <w:pPr>
              <w:rPr>
                <w:rFonts w:cs="Arial"/>
                <w:color w:val="365F91" w:themeColor="accent1" w:themeShade="BF"/>
              </w:rPr>
            </w:pPr>
            <w:r w:rsidRPr="00160D21">
              <w:rPr>
                <w:rFonts w:cs="Arial"/>
              </w:rPr>
              <w:t>W8</w:t>
            </w:r>
          </w:p>
        </w:tc>
        <w:tc>
          <w:tcPr>
            <w:tcW w:w="1007" w:type="dxa"/>
            <w:tcBorders>
              <w:top w:val="single" w:sz="2" w:space="0" w:color="auto"/>
              <w:left w:val="nil"/>
              <w:bottom w:val="single" w:sz="2" w:space="0" w:color="auto"/>
              <w:right w:val="nil"/>
            </w:tcBorders>
            <w:vAlign w:val="center"/>
          </w:tcPr>
          <w:p w14:paraId="2128A1B7" w14:textId="3934B518" w:rsidR="00525007" w:rsidRPr="00160D21" w:rsidRDefault="00525007" w:rsidP="00744B34">
            <w:pPr>
              <w:rPr>
                <w:rFonts w:cs="Arial"/>
                <w:color w:val="365F91" w:themeColor="accent1" w:themeShade="BF"/>
              </w:rPr>
            </w:pPr>
            <w:r>
              <w:rPr>
                <w:rFonts w:cs="Arial"/>
              </w:rPr>
              <w:t>Mar</w:t>
            </w:r>
            <w:r w:rsidRPr="00160D21">
              <w:rPr>
                <w:rFonts w:cs="Arial"/>
              </w:rPr>
              <w:t xml:space="preserve"> 1</w:t>
            </w:r>
            <w:r w:rsidR="0053120B">
              <w:rPr>
                <w:rFonts w:cs="Arial"/>
              </w:rPr>
              <w:t>3</w:t>
            </w:r>
            <w:r w:rsidRPr="00160D21">
              <w:rPr>
                <w:rFonts w:cs="Arial"/>
              </w:rPr>
              <w:t xml:space="preserve"> – </w:t>
            </w:r>
          </w:p>
          <w:p w14:paraId="2ED0BEAD" w14:textId="101A7149" w:rsidR="00525007" w:rsidRPr="00160D21" w:rsidRDefault="00525007" w:rsidP="00744B34">
            <w:pPr>
              <w:rPr>
                <w:rFonts w:cs="Arial"/>
                <w:color w:val="365F91" w:themeColor="accent1" w:themeShade="BF"/>
              </w:rPr>
            </w:pPr>
            <w:r>
              <w:rPr>
                <w:rFonts w:cs="Arial"/>
              </w:rPr>
              <w:t xml:space="preserve">Mar </w:t>
            </w:r>
            <w:r w:rsidR="0053120B">
              <w:rPr>
                <w:rFonts w:cs="Arial"/>
              </w:rPr>
              <w:t>19</w:t>
            </w:r>
          </w:p>
        </w:tc>
        <w:tc>
          <w:tcPr>
            <w:tcW w:w="4128" w:type="dxa"/>
            <w:tcBorders>
              <w:top w:val="single" w:sz="2" w:space="0" w:color="auto"/>
              <w:left w:val="nil"/>
              <w:bottom w:val="single" w:sz="2" w:space="0" w:color="auto"/>
              <w:right w:val="nil"/>
            </w:tcBorders>
            <w:vAlign w:val="center"/>
          </w:tcPr>
          <w:p w14:paraId="192FBA7B" w14:textId="77777777" w:rsidR="00525007" w:rsidRPr="00160D21" w:rsidRDefault="00525007" w:rsidP="00744B34">
            <w:pPr>
              <w:rPr>
                <w:rFonts w:cs="Arial"/>
                <w:color w:val="365F91" w:themeColor="accent1" w:themeShade="BF"/>
              </w:rPr>
            </w:pPr>
            <w:r>
              <w:rPr>
                <w:rFonts w:cs="Arial"/>
              </w:rPr>
              <w:t>Spring Break Week</w:t>
            </w:r>
          </w:p>
        </w:tc>
        <w:tc>
          <w:tcPr>
            <w:tcW w:w="1783" w:type="dxa"/>
            <w:tcBorders>
              <w:top w:val="single" w:sz="2" w:space="0" w:color="auto"/>
              <w:left w:val="nil"/>
              <w:bottom w:val="single" w:sz="2" w:space="0" w:color="auto"/>
              <w:right w:val="nil"/>
            </w:tcBorders>
            <w:vAlign w:val="center"/>
          </w:tcPr>
          <w:p w14:paraId="5711CD09"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0F3AFA1" w14:textId="7FB0011F" w:rsidR="00525007" w:rsidRPr="00EB45B0" w:rsidRDefault="00525007" w:rsidP="00744B34">
            <w:pPr>
              <w:rPr>
                <w:rFonts w:cs="Arial"/>
                <w:color w:val="000000" w:themeColor="text1"/>
              </w:rPr>
            </w:pPr>
          </w:p>
        </w:tc>
      </w:tr>
      <w:tr w:rsidR="00525007" w:rsidRPr="00160D21" w14:paraId="334BD29C" w14:textId="77777777" w:rsidTr="00744B34">
        <w:tc>
          <w:tcPr>
            <w:tcW w:w="823" w:type="dxa"/>
            <w:tcBorders>
              <w:top w:val="single" w:sz="2" w:space="0" w:color="auto"/>
              <w:left w:val="nil"/>
              <w:bottom w:val="single" w:sz="2" w:space="0" w:color="auto"/>
              <w:right w:val="nil"/>
            </w:tcBorders>
            <w:vAlign w:val="center"/>
          </w:tcPr>
          <w:p w14:paraId="0F08CBB9" w14:textId="77777777" w:rsidR="00525007" w:rsidRPr="00160D21" w:rsidRDefault="00525007" w:rsidP="00744B34">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5F7C31AD" w14:textId="6F75896F" w:rsidR="00525007" w:rsidRDefault="00525007" w:rsidP="00744B34">
            <w:pPr>
              <w:rPr>
                <w:rFonts w:cs="Arial"/>
              </w:rPr>
            </w:pPr>
            <w:r>
              <w:rPr>
                <w:rFonts w:cs="Arial"/>
              </w:rPr>
              <w:t>Mar 2</w:t>
            </w:r>
            <w:r w:rsidR="0053120B">
              <w:rPr>
                <w:rFonts w:cs="Arial"/>
              </w:rPr>
              <w:t>0</w:t>
            </w:r>
            <w:r w:rsidRPr="00160D21">
              <w:rPr>
                <w:rFonts w:cs="Arial"/>
              </w:rPr>
              <w:t xml:space="preserve"> – </w:t>
            </w:r>
          </w:p>
          <w:p w14:paraId="3A8A9FE7" w14:textId="5944EFE6" w:rsidR="00525007" w:rsidRPr="00160D21" w:rsidRDefault="00525007" w:rsidP="00744B34">
            <w:pPr>
              <w:rPr>
                <w:rFonts w:cs="Arial"/>
                <w:color w:val="365F91" w:themeColor="accent1" w:themeShade="BF"/>
              </w:rPr>
            </w:pPr>
            <w:r>
              <w:rPr>
                <w:rFonts w:cs="Arial"/>
              </w:rPr>
              <w:t>Mar 2</w:t>
            </w:r>
            <w:r w:rsidR="0053120B">
              <w:rPr>
                <w:rFonts w:cs="Arial"/>
              </w:rPr>
              <w:t>6</w:t>
            </w:r>
          </w:p>
        </w:tc>
        <w:tc>
          <w:tcPr>
            <w:tcW w:w="4128" w:type="dxa"/>
            <w:tcBorders>
              <w:top w:val="single" w:sz="2" w:space="0" w:color="auto"/>
              <w:left w:val="nil"/>
              <w:bottom w:val="single" w:sz="2" w:space="0" w:color="auto"/>
              <w:right w:val="nil"/>
            </w:tcBorders>
            <w:vAlign w:val="center"/>
          </w:tcPr>
          <w:p w14:paraId="73252387" w14:textId="077F9D83" w:rsidR="00525007" w:rsidRPr="00160D21" w:rsidRDefault="001218FF" w:rsidP="00744B34">
            <w:pPr>
              <w:rPr>
                <w:rFonts w:cs="Arial"/>
                <w:color w:val="365F91" w:themeColor="accent1" w:themeShade="BF"/>
              </w:rPr>
            </w:pPr>
            <w:r>
              <w:rPr>
                <w:rFonts w:cs="Arial"/>
              </w:rPr>
              <w:t>Human and artificial cognition I</w:t>
            </w:r>
          </w:p>
        </w:tc>
        <w:tc>
          <w:tcPr>
            <w:tcW w:w="1783" w:type="dxa"/>
            <w:tcBorders>
              <w:top w:val="single" w:sz="2" w:space="0" w:color="auto"/>
              <w:left w:val="nil"/>
              <w:bottom w:val="single" w:sz="2" w:space="0" w:color="auto"/>
              <w:right w:val="nil"/>
            </w:tcBorders>
            <w:vAlign w:val="center"/>
          </w:tcPr>
          <w:p w14:paraId="72D0DE3D" w14:textId="5E6F8A1D" w:rsidR="00525007" w:rsidRPr="00160D21" w:rsidRDefault="001C3AC6" w:rsidP="00744B34">
            <w:pPr>
              <w:rPr>
                <w:rFonts w:cs="Arial"/>
                <w:color w:val="365F91" w:themeColor="accent1" w:themeShade="BF"/>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51EAAF16" w14:textId="77777777" w:rsidR="00525007" w:rsidRPr="00160D21" w:rsidRDefault="00525007" w:rsidP="00744B34">
            <w:pPr>
              <w:rPr>
                <w:rFonts w:cs="Arial"/>
                <w:color w:val="365F91" w:themeColor="accent1" w:themeShade="BF"/>
              </w:rPr>
            </w:pPr>
          </w:p>
        </w:tc>
      </w:tr>
      <w:tr w:rsidR="00525007" w:rsidRPr="00160D21" w14:paraId="586146CB" w14:textId="77777777" w:rsidTr="00744B34">
        <w:tc>
          <w:tcPr>
            <w:tcW w:w="823" w:type="dxa"/>
            <w:tcBorders>
              <w:top w:val="single" w:sz="2" w:space="0" w:color="auto"/>
              <w:left w:val="nil"/>
              <w:bottom w:val="single" w:sz="2" w:space="0" w:color="auto"/>
              <w:right w:val="nil"/>
            </w:tcBorders>
            <w:vAlign w:val="center"/>
          </w:tcPr>
          <w:p w14:paraId="7EDB688F" w14:textId="77777777" w:rsidR="00525007" w:rsidRPr="00160D21" w:rsidRDefault="00525007" w:rsidP="00744B34">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42473780" w14:textId="4E552352" w:rsidR="00525007" w:rsidRDefault="00525007" w:rsidP="00744B34">
            <w:pPr>
              <w:rPr>
                <w:rFonts w:cs="Arial"/>
              </w:rPr>
            </w:pPr>
            <w:r>
              <w:rPr>
                <w:rFonts w:cs="Arial"/>
              </w:rPr>
              <w:t>Mar 2</w:t>
            </w:r>
            <w:r w:rsidR="0053120B">
              <w:rPr>
                <w:rFonts w:cs="Arial"/>
              </w:rPr>
              <w:t>7</w:t>
            </w:r>
            <w:r w:rsidRPr="00160D21">
              <w:rPr>
                <w:rFonts w:cs="Arial"/>
              </w:rPr>
              <w:t xml:space="preserve"> – </w:t>
            </w:r>
          </w:p>
          <w:p w14:paraId="41290596" w14:textId="2600117C" w:rsidR="00525007" w:rsidRPr="00160D21" w:rsidRDefault="00525007" w:rsidP="00744B34">
            <w:pPr>
              <w:rPr>
                <w:rFonts w:cs="Arial"/>
                <w:color w:val="365F91" w:themeColor="accent1" w:themeShade="BF"/>
              </w:rPr>
            </w:pPr>
            <w:r>
              <w:rPr>
                <w:rFonts w:cs="Arial"/>
              </w:rPr>
              <w:t xml:space="preserve">April </w:t>
            </w:r>
            <w:r w:rsidR="0053120B">
              <w:rPr>
                <w:rFonts w:cs="Arial"/>
              </w:rPr>
              <w:t>2</w:t>
            </w:r>
          </w:p>
        </w:tc>
        <w:tc>
          <w:tcPr>
            <w:tcW w:w="4128" w:type="dxa"/>
            <w:tcBorders>
              <w:top w:val="single" w:sz="2" w:space="0" w:color="auto"/>
              <w:left w:val="nil"/>
              <w:bottom w:val="single" w:sz="2" w:space="0" w:color="auto"/>
              <w:right w:val="nil"/>
            </w:tcBorders>
            <w:vAlign w:val="center"/>
          </w:tcPr>
          <w:p w14:paraId="5DC82E65" w14:textId="04BFC788" w:rsidR="00525007" w:rsidRPr="00160D21" w:rsidRDefault="001218FF" w:rsidP="00744B34">
            <w:pPr>
              <w:rPr>
                <w:rFonts w:cs="Arial"/>
                <w:color w:val="365F91" w:themeColor="accent1" w:themeShade="BF"/>
              </w:rPr>
            </w:pPr>
            <w:r>
              <w:rPr>
                <w:rFonts w:cs="Arial"/>
              </w:rPr>
              <w:t>Human and artificial cognition II</w:t>
            </w:r>
          </w:p>
        </w:tc>
        <w:tc>
          <w:tcPr>
            <w:tcW w:w="1783" w:type="dxa"/>
            <w:tcBorders>
              <w:top w:val="single" w:sz="2" w:space="0" w:color="auto"/>
              <w:left w:val="nil"/>
              <w:bottom w:val="single" w:sz="2" w:space="0" w:color="auto"/>
              <w:right w:val="nil"/>
            </w:tcBorders>
            <w:vAlign w:val="center"/>
          </w:tcPr>
          <w:p w14:paraId="63A8CFE7" w14:textId="78125126" w:rsidR="00525007" w:rsidRPr="00160D21" w:rsidRDefault="001C3AC6" w:rsidP="00744B34">
            <w:pPr>
              <w:rPr>
                <w:rFonts w:cs="Arial"/>
                <w:color w:val="365F91" w:themeColor="accent1" w:themeShade="BF"/>
              </w:rPr>
            </w:pPr>
            <w:r>
              <w:rPr>
                <w:rFonts w:cs="Arial"/>
                <w:color w:val="000000" w:themeColor="text1"/>
              </w:rPr>
              <w:t>Trend forum post, AI exploration</w:t>
            </w:r>
          </w:p>
        </w:tc>
        <w:tc>
          <w:tcPr>
            <w:tcW w:w="1913" w:type="dxa"/>
            <w:tcBorders>
              <w:top w:val="single" w:sz="2" w:space="0" w:color="auto"/>
              <w:left w:val="nil"/>
              <w:bottom w:val="single" w:sz="2" w:space="0" w:color="auto"/>
              <w:right w:val="nil"/>
            </w:tcBorders>
          </w:tcPr>
          <w:p w14:paraId="5E3CAA61" w14:textId="77777777" w:rsidR="00525007" w:rsidRPr="00160D21" w:rsidRDefault="00525007" w:rsidP="00744B34">
            <w:pPr>
              <w:rPr>
                <w:rFonts w:cs="Arial"/>
                <w:color w:val="365F91" w:themeColor="accent1" w:themeShade="BF"/>
              </w:rPr>
            </w:pPr>
          </w:p>
        </w:tc>
      </w:tr>
      <w:tr w:rsidR="00525007" w:rsidRPr="00160D21" w14:paraId="43E75B71" w14:textId="77777777" w:rsidTr="00744B34">
        <w:tc>
          <w:tcPr>
            <w:tcW w:w="823" w:type="dxa"/>
            <w:tcBorders>
              <w:top w:val="single" w:sz="2" w:space="0" w:color="auto"/>
              <w:left w:val="nil"/>
              <w:bottom w:val="single" w:sz="2" w:space="0" w:color="auto"/>
              <w:right w:val="nil"/>
            </w:tcBorders>
            <w:vAlign w:val="center"/>
          </w:tcPr>
          <w:p w14:paraId="26E5C7BE" w14:textId="77777777" w:rsidR="00525007" w:rsidRPr="00160D21" w:rsidRDefault="00525007" w:rsidP="00744B34">
            <w:pPr>
              <w:rPr>
                <w:rFonts w:cs="Arial"/>
                <w:color w:val="365F91" w:themeColor="accent1" w:themeShade="BF"/>
              </w:rPr>
            </w:pPr>
            <w:r w:rsidRPr="00160D21">
              <w:rPr>
                <w:rFonts w:cs="Arial"/>
              </w:rPr>
              <w:t>W11</w:t>
            </w:r>
          </w:p>
        </w:tc>
        <w:tc>
          <w:tcPr>
            <w:tcW w:w="1007" w:type="dxa"/>
            <w:tcBorders>
              <w:top w:val="single" w:sz="2" w:space="0" w:color="auto"/>
              <w:left w:val="nil"/>
              <w:bottom w:val="single" w:sz="2" w:space="0" w:color="auto"/>
              <w:right w:val="nil"/>
            </w:tcBorders>
            <w:vAlign w:val="center"/>
          </w:tcPr>
          <w:p w14:paraId="582C9060" w14:textId="2C1603DC" w:rsidR="00525007" w:rsidRDefault="00525007" w:rsidP="00744B34">
            <w:pPr>
              <w:rPr>
                <w:rFonts w:cs="Arial"/>
              </w:rPr>
            </w:pPr>
            <w:r>
              <w:rPr>
                <w:rFonts w:cs="Arial"/>
              </w:rPr>
              <w:t xml:space="preserve">April </w:t>
            </w:r>
            <w:r w:rsidR="0053120B">
              <w:rPr>
                <w:rFonts w:cs="Arial"/>
              </w:rPr>
              <w:t>3</w:t>
            </w:r>
            <w:r w:rsidRPr="00160D21">
              <w:rPr>
                <w:rFonts w:cs="Arial"/>
              </w:rPr>
              <w:t xml:space="preserve"> – </w:t>
            </w:r>
          </w:p>
          <w:p w14:paraId="40AB903C" w14:textId="28954BF4" w:rsidR="00525007" w:rsidRPr="00160D21" w:rsidRDefault="00525007" w:rsidP="00744B34">
            <w:pPr>
              <w:rPr>
                <w:rFonts w:cs="Arial"/>
                <w:color w:val="365F91" w:themeColor="accent1" w:themeShade="BF"/>
              </w:rPr>
            </w:pPr>
            <w:r>
              <w:rPr>
                <w:rFonts w:cs="Arial"/>
              </w:rPr>
              <w:t xml:space="preserve">April </w:t>
            </w:r>
            <w:r w:rsidR="0053120B">
              <w:rPr>
                <w:rFonts w:cs="Arial"/>
              </w:rPr>
              <w:t>9</w:t>
            </w:r>
          </w:p>
        </w:tc>
        <w:tc>
          <w:tcPr>
            <w:tcW w:w="4128" w:type="dxa"/>
            <w:tcBorders>
              <w:top w:val="single" w:sz="2" w:space="0" w:color="auto"/>
              <w:left w:val="nil"/>
              <w:bottom w:val="single" w:sz="2" w:space="0" w:color="auto"/>
              <w:right w:val="nil"/>
            </w:tcBorders>
            <w:vAlign w:val="center"/>
          </w:tcPr>
          <w:p w14:paraId="10C93414" w14:textId="49B859DD" w:rsidR="00525007" w:rsidRPr="00160D21" w:rsidRDefault="001218FF" w:rsidP="00744B34">
            <w:pPr>
              <w:rPr>
                <w:rFonts w:cs="Arial"/>
                <w:color w:val="365F91" w:themeColor="accent1" w:themeShade="BF"/>
              </w:rPr>
            </w:pPr>
            <w:r>
              <w:rPr>
                <w:rFonts w:cs="Arial"/>
              </w:rPr>
              <w:t>Intersections: function task analysis</w:t>
            </w:r>
            <w:r w:rsidR="00EF173E">
              <w:rPr>
                <w:rFonts w:cs="Arial"/>
              </w:rPr>
              <w:t xml:space="preserve"> &amp; design-based models</w:t>
            </w:r>
          </w:p>
        </w:tc>
        <w:tc>
          <w:tcPr>
            <w:tcW w:w="1783" w:type="dxa"/>
            <w:tcBorders>
              <w:top w:val="single" w:sz="2" w:space="0" w:color="auto"/>
              <w:left w:val="nil"/>
              <w:bottom w:val="single" w:sz="2" w:space="0" w:color="auto"/>
              <w:right w:val="nil"/>
            </w:tcBorders>
            <w:vAlign w:val="center"/>
          </w:tcPr>
          <w:p w14:paraId="11DF946C" w14:textId="683B84C7" w:rsidR="00525007" w:rsidRPr="001C3AC6" w:rsidRDefault="00B370B0" w:rsidP="00744B34">
            <w:pPr>
              <w:rPr>
                <w:rFonts w:cs="Arial"/>
                <w:b/>
                <w:bCs/>
                <w:color w:val="365F91" w:themeColor="accent1" w:themeShade="BF"/>
              </w:rPr>
            </w:pPr>
            <w:r w:rsidRPr="001C3AC6">
              <w:rPr>
                <w:rFonts w:cs="Arial"/>
                <w:b/>
                <w:bCs/>
                <w:color w:val="000000" w:themeColor="text1"/>
              </w:rPr>
              <w:t>Task Analysis Due</w:t>
            </w:r>
          </w:p>
        </w:tc>
        <w:tc>
          <w:tcPr>
            <w:tcW w:w="1913" w:type="dxa"/>
            <w:tcBorders>
              <w:top w:val="single" w:sz="2" w:space="0" w:color="auto"/>
              <w:left w:val="nil"/>
              <w:bottom w:val="single" w:sz="2" w:space="0" w:color="auto"/>
              <w:right w:val="nil"/>
            </w:tcBorders>
          </w:tcPr>
          <w:p w14:paraId="494DACB4" w14:textId="194022F8" w:rsidR="00525007" w:rsidRPr="00160D21" w:rsidRDefault="00525007" w:rsidP="00744B34">
            <w:pPr>
              <w:rPr>
                <w:rFonts w:cs="Arial"/>
                <w:color w:val="000000" w:themeColor="text1"/>
              </w:rPr>
            </w:pPr>
          </w:p>
        </w:tc>
      </w:tr>
      <w:tr w:rsidR="00525007" w:rsidRPr="00160D21" w14:paraId="28D7FCB7" w14:textId="77777777" w:rsidTr="00744B34">
        <w:tc>
          <w:tcPr>
            <w:tcW w:w="823" w:type="dxa"/>
            <w:tcBorders>
              <w:top w:val="single" w:sz="2" w:space="0" w:color="auto"/>
              <w:left w:val="nil"/>
              <w:bottom w:val="single" w:sz="2" w:space="0" w:color="auto"/>
              <w:right w:val="nil"/>
            </w:tcBorders>
            <w:vAlign w:val="center"/>
          </w:tcPr>
          <w:p w14:paraId="1DABE707" w14:textId="77777777" w:rsidR="00525007" w:rsidRPr="00160D21" w:rsidRDefault="00525007" w:rsidP="00744B34">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66CABD60" w14:textId="577D7DDF" w:rsidR="00525007" w:rsidRDefault="00525007" w:rsidP="00744B34">
            <w:pPr>
              <w:rPr>
                <w:rFonts w:cs="Arial"/>
              </w:rPr>
            </w:pPr>
            <w:r>
              <w:rPr>
                <w:rFonts w:cs="Arial"/>
              </w:rPr>
              <w:t>April 1</w:t>
            </w:r>
            <w:r w:rsidR="0053120B">
              <w:rPr>
                <w:rFonts w:cs="Arial"/>
              </w:rPr>
              <w:t>0</w:t>
            </w:r>
            <w:r w:rsidRPr="00160D21">
              <w:rPr>
                <w:rFonts w:cs="Arial"/>
              </w:rPr>
              <w:t xml:space="preserve"> – </w:t>
            </w:r>
          </w:p>
          <w:p w14:paraId="0ACFF0CF" w14:textId="727FD165" w:rsidR="00525007" w:rsidRPr="00160D21" w:rsidRDefault="00525007" w:rsidP="00744B34">
            <w:pPr>
              <w:rPr>
                <w:rFonts w:cs="Arial"/>
                <w:color w:val="365F91" w:themeColor="accent1" w:themeShade="BF"/>
              </w:rPr>
            </w:pPr>
            <w:r>
              <w:rPr>
                <w:rFonts w:cs="Arial"/>
              </w:rPr>
              <w:t>April 1</w:t>
            </w:r>
            <w:r w:rsidR="0053120B">
              <w:rPr>
                <w:rFonts w:cs="Arial"/>
              </w:rPr>
              <w:t>6</w:t>
            </w:r>
          </w:p>
        </w:tc>
        <w:tc>
          <w:tcPr>
            <w:tcW w:w="4128" w:type="dxa"/>
            <w:tcBorders>
              <w:top w:val="single" w:sz="2" w:space="0" w:color="auto"/>
              <w:left w:val="nil"/>
              <w:bottom w:val="single" w:sz="2" w:space="0" w:color="auto"/>
              <w:right w:val="nil"/>
            </w:tcBorders>
            <w:vAlign w:val="center"/>
          </w:tcPr>
          <w:p w14:paraId="6655DC03" w14:textId="7555216C" w:rsidR="00525007" w:rsidRPr="001218FF" w:rsidRDefault="00EF173E" w:rsidP="00744B34">
            <w:pPr>
              <w:rPr>
                <w:rFonts w:cs="Arial"/>
                <w:color w:val="000000" w:themeColor="text1"/>
              </w:rPr>
            </w:pPr>
            <w:r>
              <w:rPr>
                <w:rFonts w:cs="Arial"/>
                <w:color w:val="000000" w:themeColor="text1"/>
              </w:rPr>
              <w:t>Bias, ethics, and fairness</w:t>
            </w:r>
          </w:p>
        </w:tc>
        <w:tc>
          <w:tcPr>
            <w:tcW w:w="1783" w:type="dxa"/>
            <w:tcBorders>
              <w:top w:val="single" w:sz="2" w:space="0" w:color="auto"/>
              <w:left w:val="nil"/>
              <w:bottom w:val="single" w:sz="2" w:space="0" w:color="auto"/>
              <w:right w:val="nil"/>
            </w:tcBorders>
            <w:vAlign w:val="center"/>
          </w:tcPr>
          <w:p w14:paraId="06E63C61" w14:textId="1DD9833E" w:rsidR="00525007" w:rsidRPr="001C3AC6" w:rsidRDefault="00B370B0" w:rsidP="00744B34">
            <w:pPr>
              <w:rPr>
                <w:rFonts w:cs="Arial"/>
                <w:b/>
                <w:bCs/>
                <w:color w:val="365F91" w:themeColor="accent1" w:themeShade="BF"/>
              </w:rPr>
            </w:pPr>
            <w:r w:rsidRPr="001C3AC6">
              <w:rPr>
                <w:rFonts w:cs="Arial"/>
                <w:b/>
                <w:bCs/>
                <w:color w:val="000000" w:themeColor="text1"/>
              </w:rPr>
              <w:t>Trend Summary Due</w:t>
            </w:r>
          </w:p>
        </w:tc>
        <w:tc>
          <w:tcPr>
            <w:tcW w:w="1913" w:type="dxa"/>
            <w:tcBorders>
              <w:top w:val="single" w:sz="2" w:space="0" w:color="auto"/>
              <w:left w:val="nil"/>
              <w:bottom w:val="single" w:sz="2" w:space="0" w:color="auto"/>
              <w:right w:val="nil"/>
            </w:tcBorders>
          </w:tcPr>
          <w:p w14:paraId="49A70E2F" w14:textId="77777777" w:rsidR="00525007" w:rsidRPr="00160D21" w:rsidRDefault="00525007" w:rsidP="00744B34">
            <w:pPr>
              <w:rPr>
                <w:rFonts w:cs="Arial"/>
                <w:color w:val="000000" w:themeColor="text1"/>
              </w:rPr>
            </w:pPr>
          </w:p>
        </w:tc>
      </w:tr>
      <w:tr w:rsidR="00525007" w:rsidRPr="00160D21" w14:paraId="3CBCD7DF" w14:textId="77777777" w:rsidTr="00744B34">
        <w:tc>
          <w:tcPr>
            <w:tcW w:w="823" w:type="dxa"/>
            <w:tcBorders>
              <w:top w:val="single" w:sz="2" w:space="0" w:color="auto"/>
              <w:left w:val="nil"/>
              <w:bottom w:val="single" w:sz="2" w:space="0" w:color="auto"/>
              <w:right w:val="nil"/>
            </w:tcBorders>
            <w:vAlign w:val="center"/>
          </w:tcPr>
          <w:p w14:paraId="0106B194" w14:textId="77777777" w:rsidR="00525007" w:rsidRPr="00160D21" w:rsidRDefault="00525007" w:rsidP="00744B34">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78D73DF9" w14:textId="514CF645" w:rsidR="00525007" w:rsidRDefault="00525007" w:rsidP="00744B34">
            <w:pPr>
              <w:rPr>
                <w:rFonts w:cs="Arial"/>
              </w:rPr>
            </w:pPr>
            <w:r>
              <w:rPr>
                <w:rFonts w:cs="Arial"/>
              </w:rPr>
              <w:t>April 1</w:t>
            </w:r>
            <w:r w:rsidR="0053120B">
              <w:rPr>
                <w:rFonts w:cs="Arial"/>
              </w:rPr>
              <w:t>7</w:t>
            </w:r>
            <w:r w:rsidRPr="00160D21">
              <w:rPr>
                <w:rFonts w:cs="Arial"/>
              </w:rPr>
              <w:t xml:space="preserve"> – </w:t>
            </w:r>
          </w:p>
          <w:p w14:paraId="74717709" w14:textId="14EC8A46" w:rsidR="00525007" w:rsidRPr="00160D21" w:rsidRDefault="00525007" w:rsidP="00744B34">
            <w:pPr>
              <w:rPr>
                <w:rFonts w:cs="Arial"/>
                <w:color w:val="365F91" w:themeColor="accent1" w:themeShade="BF"/>
              </w:rPr>
            </w:pPr>
            <w:r>
              <w:rPr>
                <w:rFonts w:cs="Arial"/>
              </w:rPr>
              <w:t>April 2</w:t>
            </w:r>
            <w:r w:rsidR="0053120B">
              <w:rPr>
                <w:rFonts w:cs="Arial"/>
              </w:rPr>
              <w:t>3</w:t>
            </w:r>
          </w:p>
        </w:tc>
        <w:tc>
          <w:tcPr>
            <w:tcW w:w="4128" w:type="dxa"/>
            <w:tcBorders>
              <w:top w:val="single" w:sz="2" w:space="0" w:color="auto"/>
              <w:left w:val="nil"/>
              <w:bottom w:val="single" w:sz="2" w:space="0" w:color="auto"/>
              <w:right w:val="nil"/>
            </w:tcBorders>
            <w:vAlign w:val="center"/>
          </w:tcPr>
          <w:p w14:paraId="3FF08A22" w14:textId="440D6D0B" w:rsidR="00525007" w:rsidRPr="00160D21" w:rsidRDefault="001218FF" w:rsidP="00744B34">
            <w:pPr>
              <w:rPr>
                <w:rFonts w:cs="Arial"/>
                <w:color w:val="000000" w:themeColor="text1"/>
              </w:rPr>
            </w:pPr>
            <w:r>
              <w:rPr>
                <w:rFonts w:cs="Arial"/>
                <w:color w:val="000000" w:themeColor="text1"/>
              </w:rPr>
              <w:t>AI and creativity</w:t>
            </w:r>
          </w:p>
        </w:tc>
        <w:tc>
          <w:tcPr>
            <w:tcW w:w="1783" w:type="dxa"/>
            <w:tcBorders>
              <w:top w:val="single" w:sz="2" w:space="0" w:color="auto"/>
              <w:left w:val="nil"/>
              <w:bottom w:val="single" w:sz="2" w:space="0" w:color="auto"/>
              <w:right w:val="nil"/>
            </w:tcBorders>
            <w:vAlign w:val="center"/>
          </w:tcPr>
          <w:p w14:paraId="09F0098E" w14:textId="3793DB20" w:rsidR="00525007" w:rsidRPr="001C3AC6" w:rsidRDefault="00B370B0" w:rsidP="00744B34">
            <w:pPr>
              <w:rPr>
                <w:rFonts w:cs="Arial"/>
                <w:b/>
                <w:bCs/>
                <w:color w:val="000000" w:themeColor="text1"/>
              </w:rPr>
            </w:pPr>
            <w:r w:rsidRPr="001C3AC6">
              <w:rPr>
                <w:rFonts w:cs="Arial"/>
                <w:b/>
                <w:bCs/>
                <w:color w:val="000000" w:themeColor="text1"/>
              </w:rPr>
              <w:t>Paper Due</w:t>
            </w:r>
          </w:p>
        </w:tc>
        <w:tc>
          <w:tcPr>
            <w:tcW w:w="1913" w:type="dxa"/>
            <w:tcBorders>
              <w:top w:val="single" w:sz="2" w:space="0" w:color="auto"/>
              <w:left w:val="nil"/>
              <w:bottom w:val="single" w:sz="2" w:space="0" w:color="auto"/>
              <w:right w:val="nil"/>
            </w:tcBorders>
          </w:tcPr>
          <w:p w14:paraId="58AB3FD6" w14:textId="77777777" w:rsidR="00525007" w:rsidRPr="00160D21" w:rsidRDefault="00525007" w:rsidP="00744B34">
            <w:pPr>
              <w:rPr>
                <w:rFonts w:cs="Arial"/>
                <w:color w:val="000000" w:themeColor="text1"/>
              </w:rPr>
            </w:pPr>
          </w:p>
        </w:tc>
      </w:tr>
      <w:tr w:rsidR="00525007" w:rsidRPr="00160D21" w14:paraId="2F92581A" w14:textId="77777777" w:rsidTr="00744B34">
        <w:tc>
          <w:tcPr>
            <w:tcW w:w="823" w:type="dxa"/>
            <w:tcBorders>
              <w:top w:val="single" w:sz="2" w:space="0" w:color="auto"/>
              <w:left w:val="nil"/>
              <w:bottom w:val="single" w:sz="4" w:space="0" w:color="auto"/>
              <w:right w:val="nil"/>
            </w:tcBorders>
            <w:vAlign w:val="center"/>
          </w:tcPr>
          <w:p w14:paraId="33B26BC4" w14:textId="77777777" w:rsidR="00525007" w:rsidRPr="00160D21" w:rsidRDefault="00525007" w:rsidP="00744B34">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13040793" w14:textId="77777777" w:rsidR="0053120B" w:rsidRDefault="00525007" w:rsidP="00744B34">
            <w:pPr>
              <w:rPr>
                <w:rFonts w:cs="Arial"/>
              </w:rPr>
            </w:pPr>
            <w:r>
              <w:rPr>
                <w:rFonts w:cs="Arial"/>
              </w:rPr>
              <w:t>April 2</w:t>
            </w:r>
            <w:r w:rsidR="0053120B">
              <w:rPr>
                <w:rFonts w:cs="Arial"/>
              </w:rPr>
              <w:t>4</w:t>
            </w:r>
            <w:r w:rsidRPr="00160D21">
              <w:rPr>
                <w:rFonts w:cs="Arial"/>
              </w:rPr>
              <w:t xml:space="preserve"> – </w:t>
            </w:r>
          </w:p>
          <w:p w14:paraId="5EDD0B4E" w14:textId="2DE0318D" w:rsidR="00525007" w:rsidRPr="00160D21" w:rsidRDefault="0053120B" w:rsidP="00744B34">
            <w:pPr>
              <w:rPr>
                <w:rFonts w:cs="Arial"/>
              </w:rPr>
            </w:pPr>
            <w:r>
              <w:rPr>
                <w:rFonts w:cs="Arial"/>
              </w:rPr>
              <w:t>April</w:t>
            </w:r>
            <w:r w:rsidR="00525007">
              <w:rPr>
                <w:rFonts w:cs="Arial"/>
              </w:rPr>
              <w:t xml:space="preserve"> </w:t>
            </w:r>
            <w:r>
              <w:rPr>
                <w:rFonts w:cs="Arial"/>
              </w:rPr>
              <w:t>30</w:t>
            </w:r>
          </w:p>
        </w:tc>
        <w:tc>
          <w:tcPr>
            <w:tcW w:w="4128" w:type="dxa"/>
            <w:tcBorders>
              <w:top w:val="single" w:sz="2" w:space="0" w:color="auto"/>
              <w:left w:val="nil"/>
              <w:bottom w:val="single" w:sz="4" w:space="0" w:color="auto"/>
              <w:right w:val="nil"/>
            </w:tcBorders>
            <w:vAlign w:val="center"/>
          </w:tcPr>
          <w:p w14:paraId="610785A7" w14:textId="16E16D7F" w:rsidR="00525007" w:rsidRPr="00160D21" w:rsidRDefault="00EF173E" w:rsidP="00744B34">
            <w:pPr>
              <w:rPr>
                <w:rFonts w:cs="Arial"/>
              </w:rPr>
            </w:pPr>
            <w:r>
              <w:rPr>
                <w:rFonts w:cs="Arial"/>
              </w:rPr>
              <w:t xml:space="preserve">Future of learning, work, and </w:t>
            </w:r>
            <w:r w:rsidR="00253727">
              <w:rPr>
                <w:rFonts w:cs="Arial"/>
              </w:rPr>
              <w:t>Emerging</w:t>
            </w:r>
            <w:r w:rsidR="001218FF">
              <w:rPr>
                <w:rFonts w:cs="Arial"/>
              </w:rPr>
              <w:t xml:space="preserve"> AI trends</w:t>
            </w:r>
          </w:p>
        </w:tc>
        <w:tc>
          <w:tcPr>
            <w:tcW w:w="1783" w:type="dxa"/>
            <w:tcBorders>
              <w:top w:val="single" w:sz="2" w:space="0" w:color="auto"/>
              <w:left w:val="nil"/>
              <w:bottom w:val="single" w:sz="4" w:space="0" w:color="auto"/>
              <w:right w:val="nil"/>
            </w:tcBorders>
            <w:vAlign w:val="center"/>
          </w:tcPr>
          <w:p w14:paraId="789F3B18" w14:textId="3D5A59A2" w:rsidR="00525007" w:rsidRPr="001C3AC6" w:rsidRDefault="00B370B0" w:rsidP="00744B34">
            <w:pPr>
              <w:rPr>
                <w:rFonts w:cs="Arial"/>
                <w:b/>
                <w:bCs/>
              </w:rPr>
            </w:pPr>
            <w:r w:rsidRPr="001C3AC6">
              <w:rPr>
                <w:rFonts w:cs="Arial"/>
                <w:b/>
                <w:bCs/>
                <w:color w:val="000000" w:themeColor="text1"/>
              </w:rPr>
              <w:t>AI Diary Due</w:t>
            </w:r>
          </w:p>
        </w:tc>
        <w:tc>
          <w:tcPr>
            <w:tcW w:w="1913" w:type="dxa"/>
            <w:tcBorders>
              <w:top w:val="single" w:sz="2" w:space="0" w:color="auto"/>
              <w:left w:val="nil"/>
              <w:bottom w:val="single" w:sz="4" w:space="0" w:color="auto"/>
              <w:right w:val="nil"/>
            </w:tcBorders>
          </w:tcPr>
          <w:p w14:paraId="0FAB0959" w14:textId="77777777" w:rsidR="00525007" w:rsidRPr="00160D21" w:rsidRDefault="00525007" w:rsidP="00744B34">
            <w:pPr>
              <w:rPr>
                <w:rFonts w:cs="Arial"/>
                <w:color w:val="000000" w:themeColor="text1"/>
              </w:rPr>
            </w:pPr>
          </w:p>
        </w:tc>
      </w:tr>
      <w:tr w:rsidR="00525007" w:rsidRPr="00160D21" w14:paraId="34BCFD9D" w14:textId="77777777" w:rsidTr="00744B34">
        <w:tc>
          <w:tcPr>
            <w:tcW w:w="823" w:type="dxa"/>
            <w:tcBorders>
              <w:top w:val="single" w:sz="4" w:space="0" w:color="auto"/>
              <w:left w:val="nil"/>
              <w:bottom w:val="single" w:sz="12" w:space="0" w:color="auto"/>
              <w:right w:val="nil"/>
            </w:tcBorders>
            <w:vAlign w:val="center"/>
          </w:tcPr>
          <w:p w14:paraId="1C4A9CD6" w14:textId="77777777" w:rsidR="00525007" w:rsidRPr="00160D21" w:rsidRDefault="00525007" w:rsidP="00744B34">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756F8AD7" w14:textId="692F5C9C" w:rsidR="00525007" w:rsidRPr="00160D21" w:rsidRDefault="00525007" w:rsidP="00744B34">
            <w:pPr>
              <w:rPr>
                <w:rFonts w:cs="Arial"/>
                <w:color w:val="365F91" w:themeColor="accent1" w:themeShade="BF"/>
              </w:rPr>
            </w:pPr>
            <w:r>
              <w:rPr>
                <w:rFonts w:cs="Arial"/>
              </w:rPr>
              <w:t xml:space="preserve">May </w:t>
            </w:r>
            <w:r w:rsidR="0053120B">
              <w:rPr>
                <w:rFonts w:cs="Arial"/>
              </w:rPr>
              <w:t>1</w:t>
            </w:r>
            <w:r w:rsidRPr="00160D21">
              <w:rPr>
                <w:rFonts w:cs="Arial"/>
              </w:rPr>
              <w:t xml:space="preserve"> – </w:t>
            </w:r>
            <w:r>
              <w:rPr>
                <w:rFonts w:cs="Arial"/>
              </w:rPr>
              <w:t xml:space="preserve">May </w:t>
            </w:r>
            <w:r w:rsidR="0053120B">
              <w:rPr>
                <w:rFonts w:cs="Arial"/>
              </w:rPr>
              <w:t>7</w:t>
            </w:r>
          </w:p>
        </w:tc>
        <w:tc>
          <w:tcPr>
            <w:tcW w:w="4128" w:type="dxa"/>
            <w:tcBorders>
              <w:top w:val="single" w:sz="4" w:space="0" w:color="auto"/>
              <w:left w:val="nil"/>
              <w:bottom w:val="single" w:sz="12" w:space="0" w:color="auto"/>
              <w:right w:val="nil"/>
            </w:tcBorders>
            <w:vAlign w:val="center"/>
          </w:tcPr>
          <w:p w14:paraId="532E56C9" w14:textId="77777777" w:rsidR="00525007" w:rsidRPr="00160D21" w:rsidRDefault="00525007" w:rsidP="00744B34">
            <w:pPr>
              <w:rPr>
                <w:rFonts w:cs="Arial"/>
                <w:color w:val="365F91" w:themeColor="accent1" w:themeShade="BF"/>
              </w:rPr>
            </w:pPr>
            <w:r>
              <w:rPr>
                <w:rFonts w:cs="Arial"/>
              </w:rPr>
              <w:t>Exam Week</w:t>
            </w:r>
          </w:p>
        </w:tc>
        <w:tc>
          <w:tcPr>
            <w:tcW w:w="1783" w:type="dxa"/>
            <w:tcBorders>
              <w:top w:val="single" w:sz="4" w:space="0" w:color="auto"/>
              <w:left w:val="nil"/>
              <w:bottom w:val="single" w:sz="12" w:space="0" w:color="auto"/>
              <w:right w:val="nil"/>
            </w:tcBorders>
            <w:vAlign w:val="center"/>
          </w:tcPr>
          <w:p w14:paraId="33C44073" w14:textId="77777777" w:rsidR="00525007" w:rsidRPr="00EB45B0" w:rsidRDefault="00525007" w:rsidP="00744B34">
            <w:pPr>
              <w:rPr>
                <w:rFonts w:cs="Arial"/>
                <w:color w:val="000000" w:themeColor="text1"/>
              </w:rPr>
            </w:pPr>
          </w:p>
        </w:tc>
        <w:tc>
          <w:tcPr>
            <w:tcW w:w="1913" w:type="dxa"/>
            <w:tcBorders>
              <w:top w:val="single" w:sz="4" w:space="0" w:color="auto"/>
              <w:left w:val="nil"/>
              <w:bottom w:val="single" w:sz="12" w:space="0" w:color="auto"/>
              <w:right w:val="nil"/>
            </w:tcBorders>
          </w:tcPr>
          <w:p w14:paraId="0AE9570B" w14:textId="77777777" w:rsidR="00525007" w:rsidRPr="00160D21" w:rsidRDefault="00525007" w:rsidP="00744B34">
            <w:pPr>
              <w:rPr>
                <w:rFonts w:cs="Arial"/>
                <w:color w:val="000000" w:themeColor="text1"/>
              </w:rPr>
            </w:pPr>
          </w:p>
        </w:tc>
      </w:tr>
    </w:tbl>
    <w:p w14:paraId="5B93C22B" w14:textId="77777777" w:rsidR="0030532E" w:rsidRDefault="0030532E" w:rsidP="00766DC7">
      <w:pPr>
        <w:rPr>
          <w:rFonts w:cs="Arial"/>
          <w:color w:val="365F91" w:themeColor="accent1" w:themeShade="BF"/>
        </w:rPr>
      </w:pPr>
    </w:p>
    <w:p w14:paraId="5AC7C2C2" w14:textId="3C876019" w:rsidR="00D116E7" w:rsidRDefault="00D116E7" w:rsidP="003611E2">
      <w:pPr>
        <w:pStyle w:val="Heading2"/>
      </w:pPr>
      <w:r>
        <w:rPr>
          <w:b w:val="0"/>
          <w:bCs/>
          <w:sz w:val="22"/>
          <w:szCs w:val="22"/>
        </w:rPr>
        <w:t xml:space="preserve">Please see the Spring 2023 academic calendar for important dates: </w:t>
      </w:r>
      <w:hyperlink r:id="rId12" w:history="1">
        <w:r w:rsidRPr="004203CA">
          <w:rPr>
            <w:rStyle w:val="Hyperlink"/>
            <w:b w:val="0"/>
            <w:bCs/>
            <w:sz w:val="22"/>
            <w:szCs w:val="22"/>
          </w:rPr>
          <w:t>https://www.uta.edu/academics/academic-calendar/spring-2023</w:t>
        </w:r>
      </w:hyperlink>
    </w:p>
    <w:p w14:paraId="53309720" w14:textId="52C1402C" w:rsidR="000D7CC4" w:rsidRPr="000D7CC4" w:rsidRDefault="000D7CC4" w:rsidP="003611E2">
      <w:pPr>
        <w:pStyle w:val="Heading2"/>
      </w:pPr>
      <w:r>
        <w:lastRenderedPageBreak/>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r w:rsidRPr="50125F4E">
          <w:rPr>
            <w:rStyle w:val="Hyperlink"/>
          </w:rPr>
          <w:t>Institutional Information</w:t>
        </w:r>
      </w:hyperlink>
      <w:r>
        <w:t xml:space="preserve"> page</w:t>
      </w:r>
      <w:r w:rsidR="0040110B">
        <w:t xml:space="preserve"> (</w:t>
      </w:r>
      <w:hyperlink r:id="rId14">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5">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43EB00D3" w14:textId="4E61C419" w:rsidR="007F57BC" w:rsidRDefault="193F42CF" w:rsidP="00B370B0">
      <w:pPr>
        <w:spacing w:line="259" w:lineRule="auto"/>
      </w:pPr>
      <w:r>
        <w:t xml:space="preserve">If you have any questions about the MSLA program, please contact </w:t>
      </w:r>
      <w:r w:rsidR="00E129EF">
        <w:t xml:space="preserve">George Siemens at </w:t>
      </w:r>
      <w:hyperlink r:id="rId16" w:history="1">
        <w:r w:rsidR="00E129EF" w:rsidRPr="004203CA">
          <w:rPr>
            <w:rStyle w:val="Hyperlink"/>
          </w:rPr>
          <w:t>gsiemens@uta.edu</w:t>
        </w:r>
      </w:hyperlink>
      <w:r w:rsidR="00E129EF">
        <w:t>.</w:t>
      </w:r>
      <w:r>
        <w:t xml:space="preserve"> </w:t>
      </w:r>
    </w:p>
    <w:p w14:paraId="31267C5B" w14:textId="28D9BB16"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7">
        <w:r w:rsidRPr="50125F4E">
          <w:rPr>
            <w:rStyle w:val="Hyperlink"/>
          </w:rPr>
          <w:t>Academic Success Center</w:t>
        </w:r>
      </w:hyperlink>
      <w:r>
        <w:t xml:space="preserve">.  To request disability accommodations for tutoring, please complete this </w:t>
      </w:r>
      <w:hyperlink r:id="rId18">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19">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t>
      </w:r>
      <w:r w:rsidRPr="50125F4E">
        <w:rPr>
          <w:rFonts w:cs="Arial"/>
        </w:rPr>
        <w:lastRenderedPageBreak/>
        <w:t xml:space="preserve">workshops, and specialized services for graduate students and faculty are also available. Please see </w:t>
      </w:r>
      <w:hyperlink r:id="rId20">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45CD1AB"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1">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506E5B9E" w14:textId="77777777" w:rsidR="005E7A16" w:rsidRDefault="005E7A16" w:rsidP="005E7A16">
      <w:pPr>
        <w:rPr>
          <w:rFonts w:cs="Arial"/>
          <w:b/>
          <w:bCs/>
        </w:rPr>
      </w:pPr>
      <w:r w:rsidRPr="0095083D">
        <w:rPr>
          <w:rFonts w:cs="Arial"/>
          <w:b/>
          <w:bCs/>
        </w:rPr>
        <w:t>University Exit and Emergency Procedures</w:t>
      </w:r>
    </w:p>
    <w:p w14:paraId="34BD8ED2" w14:textId="77777777" w:rsidR="005E7A16" w:rsidRDefault="005E7A16" w:rsidP="005E7A16">
      <w:pPr>
        <w:rPr>
          <w:rFonts w:cs="Arial"/>
        </w:rPr>
      </w:pPr>
      <w:r>
        <w:rPr>
          <w:rFonts w:cs="Arial"/>
        </w:rPr>
        <w:t xml:space="preserve">UTA requires information regarding campus security. This is a fully online course and on-campus emergency procedures do not apply. However, if you physically visit the campus, information is available here: </w:t>
      </w:r>
      <w:hyperlink r:id="rId22" w:tooltip="Original URL:&#10;https://t.e2ma.net/click/wgxbwg/wgxzqr/ggadgo&#10;&#10;Click to follow link." w:history="1">
        <w:r w:rsidRPr="0095083D">
          <w:rPr>
            <w:rStyle w:val="Hyperlink"/>
            <w:rFonts w:cs="Arial"/>
            <w:i/>
            <w:iCs/>
          </w:rPr>
          <w:t>UT Arlington Procedure 7-6: Emergency/Fire Evacuation Procedures</w:t>
        </w:r>
      </w:hyperlink>
      <w:r w:rsidRPr="0095083D">
        <w:rPr>
          <w:rFonts w:cs="Arial"/>
          <w:i/>
          <w:iCs/>
        </w:rPr>
        <w:t>. Here is the map of exits for the campus: </w:t>
      </w:r>
      <w:hyperlink r:id="rId23" w:tooltip="Original URL:&#10;https://t.e2ma.net/click/wgxbwg/wgxzqr/w8adgo&#10;&#10;Click to follow link." w:history="1">
        <w:r w:rsidRPr="0095083D">
          <w:rPr>
            <w:rStyle w:val="Hyperlink"/>
            <w:rFonts w:cs="Arial"/>
            <w:i/>
            <w:iCs/>
          </w:rPr>
          <w:t>https://www.uta.edu/campus-ops/ehs/fire/Evac_Maps_Buildings.php</w:t>
        </w:r>
      </w:hyperlink>
    </w:p>
    <w:p w14:paraId="37E467C9" w14:textId="77777777" w:rsidR="005E7A16" w:rsidRDefault="005E7A16" w:rsidP="50125F4E">
      <w:pPr>
        <w:spacing w:after="240" w:line="259" w:lineRule="auto"/>
        <w:rPr>
          <w:rFonts w:cs="Arial"/>
        </w:rPr>
      </w:pP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6">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8">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9">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1">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3">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4"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5">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89A6" w14:textId="77777777" w:rsidR="001F1137" w:rsidRDefault="001F1137" w:rsidP="00141EC6">
      <w:r>
        <w:separator/>
      </w:r>
    </w:p>
  </w:endnote>
  <w:endnote w:type="continuationSeparator" w:id="0">
    <w:p w14:paraId="5D090B2A" w14:textId="77777777" w:rsidR="001F1137" w:rsidRDefault="001F1137" w:rsidP="00141EC6">
      <w:r>
        <w:continuationSeparator/>
      </w:r>
    </w:p>
  </w:endnote>
  <w:endnote w:type="continuationNotice" w:id="1">
    <w:p w14:paraId="37767C59" w14:textId="77777777" w:rsidR="001F1137" w:rsidRDefault="001F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50E6" w14:textId="77777777" w:rsidR="001F1137" w:rsidRDefault="001F1137" w:rsidP="00141EC6">
      <w:r>
        <w:separator/>
      </w:r>
    </w:p>
  </w:footnote>
  <w:footnote w:type="continuationSeparator" w:id="0">
    <w:p w14:paraId="465704B5" w14:textId="77777777" w:rsidR="001F1137" w:rsidRDefault="001F1137" w:rsidP="00141EC6">
      <w:r>
        <w:continuationSeparator/>
      </w:r>
    </w:p>
  </w:footnote>
  <w:footnote w:type="continuationNotice" w:id="1">
    <w:p w14:paraId="59CBAA13" w14:textId="77777777" w:rsidR="001F1137" w:rsidRDefault="001F1137"/>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3160"/>
    <w:multiLevelType w:val="hybridMultilevel"/>
    <w:tmpl w:val="8D58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A53A9"/>
    <w:multiLevelType w:val="hybridMultilevel"/>
    <w:tmpl w:val="530C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5089"/>
    <w:multiLevelType w:val="hybridMultilevel"/>
    <w:tmpl w:val="314A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97988"/>
    <w:multiLevelType w:val="hybridMultilevel"/>
    <w:tmpl w:val="1EC2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60CBB"/>
    <w:multiLevelType w:val="hybridMultilevel"/>
    <w:tmpl w:val="31C83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358951">
    <w:abstractNumId w:val="12"/>
  </w:num>
  <w:num w:numId="2" w16cid:durableId="153884173">
    <w:abstractNumId w:val="3"/>
  </w:num>
  <w:num w:numId="3" w16cid:durableId="1055011900">
    <w:abstractNumId w:val="15"/>
  </w:num>
  <w:num w:numId="4" w16cid:durableId="1265458129">
    <w:abstractNumId w:val="5"/>
  </w:num>
  <w:num w:numId="5" w16cid:durableId="1620528771">
    <w:abstractNumId w:val="16"/>
  </w:num>
  <w:num w:numId="6" w16cid:durableId="2107531298">
    <w:abstractNumId w:val="0"/>
  </w:num>
  <w:num w:numId="7" w16cid:durableId="370426178">
    <w:abstractNumId w:val="13"/>
  </w:num>
  <w:num w:numId="8" w16cid:durableId="1274748201">
    <w:abstractNumId w:val="21"/>
  </w:num>
  <w:num w:numId="9" w16cid:durableId="1475103778">
    <w:abstractNumId w:val="14"/>
  </w:num>
  <w:num w:numId="10" w16cid:durableId="1802533343">
    <w:abstractNumId w:val="8"/>
  </w:num>
  <w:num w:numId="11" w16cid:durableId="2029864622">
    <w:abstractNumId w:val="9"/>
  </w:num>
  <w:num w:numId="12" w16cid:durableId="1178344879">
    <w:abstractNumId w:val="20"/>
  </w:num>
  <w:num w:numId="13" w16cid:durableId="282460633">
    <w:abstractNumId w:val="7"/>
  </w:num>
  <w:num w:numId="14" w16cid:durableId="1509444472">
    <w:abstractNumId w:val="1"/>
  </w:num>
  <w:num w:numId="15" w16cid:durableId="2128160039">
    <w:abstractNumId w:val="2"/>
  </w:num>
  <w:num w:numId="16" w16cid:durableId="1517383083">
    <w:abstractNumId w:val="6"/>
  </w:num>
  <w:num w:numId="17" w16cid:durableId="2037847979">
    <w:abstractNumId w:val="11"/>
  </w:num>
  <w:num w:numId="18" w16cid:durableId="1046758918">
    <w:abstractNumId w:val="10"/>
  </w:num>
  <w:num w:numId="19" w16cid:durableId="1367220231">
    <w:abstractNumId w:val="18"/>
  </w:num>
  <w:num w:numId="20" w16cid:durableId="1231236794">
    <w:abstractNumId w:val="17"/>
  </w:num>
  <w:num w:numId="21" w16cid:durableId="1429156516">
    <w:abstractNumId w:val="4"/>
  </w:num>
  <w:num w:numId="22" w16cid:durableId="6404273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155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4CF"/>
    <w:rsid w:val="00110D3C"/>
    <w:rsid w:val="00113AD0"/>
    <w:rsid w:val="001218FF"/>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AC6"/>
    <w:rsid w:val="001C3DC9"/>
    <w:rsid w:val="001C53D1"/>
    <w:rsid w:val="001C6441"/>
    <w:rsid w:val="001C6A0C"/>
    <w:rsid w:val="001C79D6"/>
    <w:rsid w:val="001D11A1"/>
    <w:rsid w:val="001E1E1B"/>
    <w:rsid w:val="001F1137"/>
    <w:rsid w:val="001F64E9"/>
    <w:rsid w:val="00200E4B"/>
    <w:rsid w:val="0020685B"/>
    <w:rsid w:val="002070A8"/>
    <w:rsid w:val="0021766B"/>
    <w:rsid w:val="0022106A"/>
    <w:rsid w:val="00223F87"/>
    <w:rsid w:val="00225468"/>
    <w:rsid w:val="00226152"/>
    <w:rsid w:val="00226819"/>
    <w:rsid w:val="00227837"/>
    <w:rsid w:val="00233799"/>
    <w:rsid w:val="0023389B"/>
    <w:rsid w:val="00234EEC"/>
    <w:rsid w:val="00235E04"/>
    <w:rsid w:val="00241C6A"/>
    <w:rsid w:val="002425B7"/>
    <w:rsid w:val="00253727"/>
    <w:rsid w:val="00255B9D"/>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9CB"/>
    <w:rsid w:val="002F021C"/>
    <w:rsid w:val="002F510C"/>
    <w:rsid w:val="002F5F4D"/>
    <w:rsid w:val="003021CD"/>
    <w:rsid w:val="0030532E"/>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611E2"/>
    <w:rsid w:val="003647C1"/>
    <w:rsid w:val="00376552"/>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1A15"/>
    <w:rsid w:val="004676DF"/>
    <w:rsid w:val="00470159"/>
    <w:rsid w:val="00470E9F"/>
    <w:rsid w:val="00473BC7"/>
    <w:rsid w:val="00474FE5"/>
    <w:rsid w:val="00482746"/>
    <w:rsid w:val="004837C6"/>
    <w:rsid w:val="00484FAB"/>
    <w:rsid w:val="00490285"/>
    <w:rsid w:val="0049097A"/>
    <w:rsid w:val="00491B08"/>
    <w:rsid w:val="00491B16"/>
    <w:rsid w:val="00493FD7"/>
    <w:rsid w:val="00494DBD"/>
    <w:rsid w:val="00495CC7"/>
    <w:rsid w:val="0049683F"/>
    <w:rsid w:val="004A0025"/>
    <w:rsid w:val="004A2A19"/>
    <w:rsid w:val="004A3B43"/>
    <w:rsid w:val="004B4F0C"/>
    <w:rsid w:val="004C098F"/>
    <w:rsid w:val="004C28AA"/>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5007"/>
    <w:rsid w:val="005277E2"/>
    <w:rsid w:val="0053120B"/>
    <w:rsid w:val="00531B24"/>
    <w:rsid w:val="00535298"/>
    <w:rsid w:val="00536257"/>
    <w:rsid w:val="00537332"/>
    <w:rsid w:val="00540540"/>
    <w:rsid w:val="00543BA7"/>
    <w:rsid w:val="00543C3B"/>
    <w:rsid w:val="00545341"/>
    <w:rsid w:val="005541B4"/>
    <w:rsid w:val="00554BE1"/>
    <w:rsid w:val="00563700"/>
    <w:rsid w:val="005702E9"/>
    <w:rsid w:val="0057065D"/>
    <w:rsid w:val="00570B9B"/>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E7A16"/>
    <w:rsid w:val="005F1354"/>
    <w:rsid w:val="005F4A6F"/>
    <w:rsid w:val="005F596B"/>
    <w:rsid w:val="005F79CF"/>
    <w:rsid w:val="006003DB"/>
    <w:rsid w:val="00600D3E"/>
    <w:rsid w:val="006025DD"/>
    <w:rsid w:val="00607D4D"/>
    <w:rsid w:val="00610C87"/>
    <w:rsid w:val="00612682"/>
    <w:rsid w:val="00613426"/>
    <w:rsid w:val="006146EA"/>
    <w:rsid w:val="0061500B"/>
    <w:rsid w:val="0063236F"/>
    <w:rsid w:val="006402CB"/>
    <w:rsid w:val="006434B5"/>
    <w:rsid w:val="00647539"/>
    <w:rsid w:val="006520D5"/>
    <w:rsid w:val="00652D7D"/>
    <w:rsid w:val="006622FB"/>
    <w:rsid w:val="00663905"/>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17CDE"/>
    <w:rsid w:val="00721878"/>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57BC"/>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9F6E1B"/>
    <w:rsid w:val="00A03A93"/>
    <w:rsid w:val="00A0628B"/>
    <w:rsid w:val="00A07E69"/>
    <w:rsid w:val="00A10E6F"/>
    <w:rsid w:val="00A200B6"/>
    <w:rsid w:val="00A22368"/>
    <w:rsid w:val="00A223E4"/>
    <w:rsid w:val="00A2280C"/>
    <w:rsid w:val="00A24531"/>
    <w:rsid w:val="00A4213A"/>
    <w:rsid w:val="00A448C2"/>
    <w:rsid w:val="00A470FF"/>
    <w:rsid w:val="00A472D7"/>
    <w:rsid w:val="00A568AD"/>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18B4"/>
    <w:rsid w:val="00A92B4F"/>
    <w:rsid w:val="00A933D4"/>
    <w:rsid w:val="00AA3F6B"/>
    <w:rsid w:val="00AB496E"/>
    <w:rsid w:val="00AB5871"/>
    <w:rsid w:val="00AB6A6A"/>
    <w:rsid w:val="00AD0E6F"/>
    <w:rsid w:val="00AD3471"/>
    <w:rsid w:val="00AD3B99"/>
    <w:rsid w:val="00AD522D"/>
    <w:rsid w:val="00AE0765"/>
    <w:rsid w:val="00AE2769"/>
    <w:rsid w:val="00AE3A4D"/>
    <w:rsid w:val="00AE699D"/>
    <w:rsid w:val="00AE6A06"/>
    <w:rsid w:val="00AF6E79"/>
    <w:rsid w:val="00B0055A"/>
    <w:rsid w:val="00B011D2"/>
    <w:rsid w:val="00B02055"/>
    <w:rsid w:val="00B04355"/>
    <w:rsid w:val="00B074E6"/>
    <w:rsid w:val="00B0775D"/>
    <w:rsid w:val="00B12073"/>
    <w:rsid w:val="00B124DD"/>
    <w:rsid w:val="00B13186"/>
    <w:rsid w:val="00B14E6E"/>
    <w:rsid w:val="00B209E2"/>
    <w:rsid w:val="00B234B4"/>
    <w:rsid w:val="00B241C7"/>
    <w:rsid w:val="00B26958"/>
    <w:rsid w:val="00B27A82"/>
    <w:rsid w:val="00B30985"/>
    <w:rsid w:val="00B314C6"/>
    <w:rsid w:val="00B31B13"/>
    <w:rsid w:val="00B31B3C"/>
    <w:rsid w:val="00B323E1"/>
    <w:rsid w:val="00B35E24"/>
    <w:rsid w:val="00B368ED"/>
    <w:rsid w:val="00B370B0"/>
    <w:rsid w:val="00B418B0"/>
    <w:rsid w:val="00B44F94"/>
    <w:rsid w:val="00B45EE1"/>
    <w:rsid w:val="00B47B64"/>
    <w:rsid w:val="00B51D08"/>
    <w:rsid w:val="00B56CE3"/>
    <w:rsid w:val="00B5708E"/>
    <w:rsid w:val="00B57BF3"/>
    <w:rsid w:val="00B617DD"/>
    <w:rsid w:val="00B633E5"/>
    <w:rsid w:val="00B636C9"/>
    <w:rsid w:val="00B7034F"/>
    <w:rsid w:val="00B711A6"/>
    <w:rsid w:val="00B72E5B"/>
    <w:rsid w:val="00B80A57"/>
    <w:rsid w:val="00B851A6"/>
    <w:rsid w:val="00B8579C"/>
    <w:rsid w:val="00B85901"/>
    <w:rsid w:val="00B862F2"/>
    <w:rsid w:val="00B90B72"/>
    <w:rsid w:val="00B90DEA"/>
    <w:rsid w:val="00B94D3B"/>
    <w:rsid w:val="00BA079D"/>
    <w:rsid w:val="00BA0A96"/>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3987"/>
    <w:rsid w:val="00C27637"/>
    <w:rsid w:val="00C30FAA"/>
    <w:rsid w:val="00C31056"/>
    <w:rsid w:val="00C3105F"/>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72B90"/>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523"/>
    <w:rsid w:val="00CD6D03"/>
    <w:rsid w:val="00CE1818"/>
    <w:rsid w:val="00CF38C1"/>
    <w:rsid w:val="00CF4564"/>
    <w:rsid w:val="00CF7F78"/>
    <w:rsid w:val="00D07E62"/>
    <w:rsid w:val="00D106E7"/>
    <w:rsid w:val="00D116E7"/>
    <w:rsid w:val="00D230B5"/>
    <w:rsid w:val="00D31529"/>
    <w:rsid w:val="00D327F4"/>
    <w:rsid w:val="00D335B6"/>
    <w:rsid w:val="00D3570E"/>
    <w:rsid w:val="00D36121"/>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C7EBC"/>
    <w:rsid w:val="00DD4A4C"/>
    <w:rsid w:val="00DE06E6"/>
    <w:rsid w:val="00DE1EF6"/>
    <w:rsid w:val="00DF20F3"/>
    <w:rsid w:val="00E037B2"/>
    <w:rsid w:val="00E054C1"/>
    <w:rsid w:val="00E129EF"/>
    <w:rsid w:val="00E147F9"/>
    <w:rsid w:val="00E1550B"/>
    <w:rsid w:val="00E1631C"/>
    <w:rsid w:val="00E17B77"/>
    <w:rsid w:val="00E17E2A"/>
    <w:rsid w:val="00E213C8"/>
    <w:rsid w:val="00E24B86"/>
    <w:rsid w:val="00E27319"/>
    <w:rsid w:val="00E316EB"/>
    <w:rsid w:val="00E3287F"/>
    <w:rsid w:val="00E34416"/>
    <w:rsid w:val="00E359C4"/>
    <w:rsid w:val="00E435E9"/>
    <w:rsid w:val="00E4432D"/>
    <w:rsid w:val="00E44D42"/>
    <w:rsid w:val="00E45F87"/>
    <w:rsid w:val="00E46139"/>
    <w:rsid w:val="00E50AC1"/>
    <w:rsid w:val="00E53506"/>
    <w:rsid w:val="00E545F7"/>
    <w:rsid w:val="00E5698E"/>
    <w:rsid w:val="00E609DF"/>
    <w:rsid w:val="00E76DC9"/>
    <w:rsid w:val="00E85AFD"/>
    <w:rsid w:val="00E9591E"/>
    <w:rsid w:val="00E9736E"/>
    <w:rsid w:val="00EA4459"/>
    <w:rsid w:val="00EA6394"/>
    <w:rsid w:val="00EB3B38"/>
    <w:rsid w:val="00EC153F"/>
    <w:rsid w:val="00EC1A23"/>
    <w:rsid w:val="00ED2DD7"/>
    <w:rsid w:val="00ED614F"/>
    <w:rsid w:val="00EE0BCF"/>
    <w:rsid w:val="00EE6653"/>
    <w:rsid w:val="00EF173E"/>
    <w:rsid w:val="00EF4B43"/>
    <w:rsid w:val="00EF538C"/>
    <w:rsid w:val="00EF7D2F"/>
    <w:rsid w:val="00F0482C"/>
    <w:rsid w:val="00F11DB4"/>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7036C"/>
    <w:rsid w:val="00F83C47"/>
    <w:rsid w:val="00F859EA"/>
    <w:rsid w:val="00F97B35"/>
    <w:rsid w:val="00FA33D3"/>
    <w:rsid w:val="00FA444D"/>
    <w:rsid w:val="00FA4D84"/>
    <w:rsid w:val="00FB3213"/>
    <w:rsid w:val="00FB3B14"/>
    <w:rsid w:val="00FB619B"/>
    <w:rsid w:val="00FC0328"/>
    <w:rsid w:val="00FC2ABF"/>
    <w:rsid w:val="00FD75F3"/>
    <w:rsid w:val="00FE5BDA"/>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469">
      <w:bodyDiv w:val="1"/>
      <w:marLeft w:val="0"/>
      <w:marRight w:val="0"/>
      <w:marTop w:val="0"/>
      <w:marBottom w:val="0"/>
      <w:divBdr>
        <w:top w:val="none" w:sz="0" w:space="0" w:color="auto"/>
        <w:left w:val="none" w:sz="0" w:space="0" w:color="auto"/>
        <w:bottom w:val="none" w:sz="0" w:space="0" w:color="auto"/>
        <w:right w:val="none" w:sz="0" w:space="0" w:color="auto"/>
      </w:divBdr>
      <w:divsChild>
        <w:div w:id="763843336">
          <w:marLeft w:val="0"/>
          <w:marRight w:val="0"/>
          <w:marTop w:val="0"/>
          <w:marBottom w:val="0"/>
          <w:divBdr>
            <w:top w:val="none" w:sz="0" w:space="0" w:color="auto"/>
            <w:left w:val="none" w:sz="0" w:space="0" w:color="auto"/>
            <w:bottom w:val="none" w:sz="0" w:space="0" w:color="auto"/>
            <w:right w:val="none" w:sz="0" w:space="0" w:color="auto"/>
          </w:divBdr>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44818960">
      <w:bodyDiv w:val="1"/>
      <w:marLeft w:val="0"/>
      <w:marRight w:val="0"/>
      <w:marTop w:val="0"/>
      <w:marBottom w:val="0"/>
      <w:divBdr>
        <w:top w:val="none" w:sz="0" w:space="0" w:color="auto"/>
        <w:left w:val="none" w:sz="0" w:space="0" w:color="auto"/>
        <w:bottom w:val="none" w:sz="0" w:space="0" w:color="auto"/>
        <w:right w:val="none" w:sz="0" w:space="0" w:color="auto"/>
      </w:divBdr>
      <w:divsChild>
        <w:div w:id="1582526429">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04155217">
      <w:bodyDiv w:val="1"/>
      <w:marLeft w:val="0"/>
      <w:marRight w:val="0"/>
      <w:marTop w:val="0"/>
      <w:marBottom w:val="0"/>
      <w:divBdr>
        <w:top w:val="none" w:sz="0" w:space="0" w:color="auto"/>
        <w:left w:val="none" w:sz="0" w:space="0" w:color="auto"/>
        <w:bottom w:val="none" w:sz="0" w:space="0" w:color="auto"/>
        <w:right w:val="none" w:sz="0" w:space="0" w:color="auto"/>
      </w:divBdr>
      <w:divsChild>
        <w:div w:id="1191996046">
          <w:marLeft w:val="0"/>
          <w:marRight w:val="0"/>
          <w:marTop w:val="0"/>
          <w:marBottom w:val="0"/>
          <w:divBdr>
            <w:top w:val="none" w:sz="0" w:space="0" w:color="auto"/>
            <w:left w:val="none" w:sz="0" w:space="0" w:color="auto"/>
            <w:bottom w:val="none" w:sz="0" w:space="0" w:color="auto"/>
            <w:right w:val="none" w:sz="0" w:space="0" w:color="auto"/>
          </w:divBdr>
        </w:div>
      </w:divsChild>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79008798">
      <w:bodyDiv w:val="1"/>
      <w:marLeft w:val="0"/>
      <w:marRight w:val="0"/>
      <w:marTop w:val="0"/>
      <w:marBottom w:val="0"/>
      <w:divBdr>
        <w:top w:val="none" w:sz="0" w:space="0" w:color="auto"/>
        <w:left w:val="none" w:sz="0" w:space="0" w:color="auto"/>
        <w:bottom w:val="none" w:sz="0" w:space="0" w:color="auto"/>
        <w:right w:val="none" w:sz="0" w:space="0" w:color="auto"/>
      </w:divBdr>
      <w:divsChild>
        <w:div w:id="1775901774">
          <w:marLeft w:val="0"/>
          <w:marRight w:val="0"/>
          <w:marTop w:val="0"/>
          <w:marBottom w:val="0"/>
          <w:divBdr>
            <w:top w:val="none" w:sz="0" w:space="0" w:color="auto"/>
            <w:left w:val="none" w:sz="0" w:space="0" w:color="auto"/>
            <w:bottom w:val="none" w:sz="0" w:space="0" w:color="auto"/>
            <w:right w:val="none" w:sz="0" w:space="0" w:color="auto"/>
          </w:divBdr>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forms.office.com/Pages/ResponsePage.aspx?id=Q1vcXL7XqkyBc3KeOwpi2ccSjcIXpSJAqJFuDEhczLlUMVVHRVRIVlJJWDZJWlVYOUgxNjRPODdLVS4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21" Type="http://schemas.openxmlformats.org/officeDocument/2006/relationships/hyperlink" Target="https://libraries.uta.edu/research/librarians"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www.uta.edu/academics/academic-calendar/spring-2023" TargetMode="External"/><Relationship Id="rId17" Type="http://schemas.openxmlformats.org/officeDocument/2006/relationships/hyperlink" Target="https://www.uta.edu/student-success/course-assistance"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siemens@uta.edu"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ta.instructure.com/courses/98914" TargetMode="External"/><Relationship Id="rId23" Type="http://schemas.openxmlformats.org/officeDocument/2006/relationships/hyperlink" Target="https://nam12.safelinks.protection.outlook.com/?url=https%3A%2F%2Ft.e2ma.net%2Fclick%2Fwgxbwg%2Fwgxzqr%2Fw8adgo&amp;data=05%7C01%7Cgsiemens%40uta.edu%7Ccc839aa0300b4a7e0f2808daf285880b%7C5cdc5b43d7be4caa8173729e3b0a62d9%7C0%7C0%7C638088952577301409%7CUnknown%7CTWFpbGZsb3d8eyJWIjoiMC4wLjAwMDAiLCJQIjoiV2luMzIiLCJBTiI6Ik1haWwiLCJXVCI6Mn0%3D%7C3000%7C%7C%7C&amp;sdata=JrrltjQ%2BcSM0f17QZVVLUUZNYM3qpeg3qPQFyrcPESI%3D&amp;reserved=0"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https://nam12.safelinks.protection.outlook.com/?url=https%3A%2F%2Ft.e2ma.net%2Fclick%2Fwgxbwg%2Fwgxzqr%2Fggadgo&amp;data=05%7C01%7Cgsiemens%40uta.edu%7Ccc839aa0300b4a7e0f2808daf285880b%7C5cdc5b43d7be4caa8173729e3b0a62d9%7C0%7C0%7C638088952577301409%7CUnknown%7CTWFpbGZsb3d8eyJWIjoiMC4wLjAwMDAiLCJQIjoiV2luMzIiLCJBTiI6Ik1haWwiLCJXVCI6Mn0%3D%7C3000%7C%7C%7C&amp;sdata=jxL%2B4ASGRm1l%2FaM1gzQ17DuUXRQ4Ua4DQvKUXThJLRA%3D&amp;reserved=0"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16248</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Siemens, George</cp:lastModifiedBy>
  <cp:revision>11</cp:revision>
  <cp:lastPrinted>2014-07-22T20:44:00Z</cp:lastPrinted>
  <dcterms:created xsi:type="dcterms:W3CDTF">2023-01-18T05:06:00Z</dcterms:created>
  <dcterms:modified xsi:type="dcterms:W3CDTF">2023-01-18T11:12:00Z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