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6C244942" w:rsidR="00CE1818" w:rsidRPr="009F3E01" w:rsidRDefault="001F64E9" w:rsidP="009F3E01">
      <w:pPr>
        <w:pStyle w:val="Heading1"/>
        <w:spacing w:before="240"/>
      </w:pPr>
      <w:r w:rsidRPr="50125F4E">
        <w:rPr>
          <w:rFonts w:ascii="Arial" w:eastAsia="Arial" w:hAnsi="Arial" w:cs="Arial"/>
        </w:rPr>
        <w:t>LAPS-5</w:t>
      </w:r>
      <w:r w:rsidR="009F3E01">
        <w:rPr>
          <w:rFonts w:ascii="Arial" w:eastAsia="Arial" w:hAnsi="Arial" w:cs="Arial"/>
        </w:rPr>
        <w:t>3</w:t>
      </w:r>
      <w:r w:rsidR="0035669E">
        <w:rPr>
          <w:rFonts w:ascii="Arial" w:eastAsia="Arial" w:hAnsi="Arial" w:cs="Arial"/>
        </w:rPr>
        <w:t>91</w:t>
      </w:r>
      <w:r w:rsidRPr="50125F4E">
        <w:rPr>
          <w:rFonts w:ascii="Arial" w:eastAsia="Arial" w:hAnsi="Arial" w:cs="Arial"/>
        </w:rPr>
        <w:t>-001</w:t>
      </w:r>
      <w:r w:rsidR="009F3E01">
        <w:br/>
      </w:r>
      <w:r w:rsidR="0035669E">
        <w:rPr>
          <w:rFonts w:ascii="Arial" w:eastAsia="Arial" w:hAnsi="Arial" w:cs="Arial"/>
        </w:rPr>
        <w:t>Independent Study</w:t>
      </w:r>
    </w:p>
    <w:p w14:paraId="681400A8" w14:textId="19BDD081" w:rsidR="00CE1818" w:rsidRPr="0016052E" w:rsidRDefault="00537F3A" w:rsidP="00CE1818">
      <w:pPr>
        <w:jc w:val="center"/>
        <w:rPr>
          <w:rFonts w:cs="Arial"/>
          <w:szCs w:val="21"/>
        </w:rPr>
      </w:pPr>
      <w:r>
        <w:rPr>
          <w:rFonts w:cs="Arial"/>
          <w:szCs w:val="21"/>
        </w:rPr>
        <w:t>Spring 2023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0EBA7903" w14:textId="577C306A" w:rsidR="002C64ED" w:rsidRPr="002C64ED" w:rsidRDefault="005866A2" w:rsidP="002C64ED">
      <w:pPr>
        <w:rPr>
          <w:rFonts w:cs="Arial"/>
        </w:rPr>
      </w:pPr>
      <w:r>
        <w:rPr>
          <w:rFonts w:cs="Arial"/>
        </w:rPr>
        <w:t>George Siemens, PhD</w:t>
      </w:r>
    </w:p>
    <w:p w14:paraId="257541C3" w14:textId="77777777" w:rsidR="00141EC6" w:rsidRPr="00C31056" w:rsidRDefault="000E5E04" w:rsidP="00C31056">
      <w:pPr>
        <w:pStyle w:val="Heading3"/>
      </w:pPr>
      <w:r>
        <w:t>Email Address</w:t>
      </w:r>
    </w:p>
    <w:p w14:paraId="64212151" w14:textId="1DE05484" w:rsidR="00FA4D84" w:rsidRPr="000D7CC4" w:rsidRDefault="005866A2" w:rsidP="17BD5C99">
      <w:pPr>
        <w:rPr>
          <w:rFonts w:cs="Arial"/>
        </w:rPr>
      </w:pPr>
      <w:r>
        <w:rPr>
          <w:rFonts w:cs="Arial"/>
        </w:rPr>
        <w:t>gsiemens@uta.edu</w:t>
      </w:r>
    </w:p>
    <w:p w14:paraId="2C4EAFC1" w14:textId="77777777" w:rsidR="000D7CC4" w:rsidRDefault="000E5E04" w:rsidP="000D7CC4">
      <w:pPr>
        <w:pStyle w:val="Heading3"/>
      </w:pPr>
      <w:r>
        <w:t>Faculty Profile</w:t>
      </w:r>
    </w:p>
    <w:p w14:paraId="49215A2E" w14:textId="77777777" w:rsidR="005866A2" w:rsidRPr="00923DDC" w:rsidRDefault="005866A2" w:rsidP="005866A2">
      <w:pPr>
        <w:rPr>
          <w:rFonts w:cs="Arial"/>
        </w:rPr>
      </w:pPr>
      <w:r>
        <w:rPr>
          <w:rFonts w:cs="Arial"/>
        </w:rPr>
        <w:t xml:space="preserve">Information about me can be found here: </w:t>
      </w:r>
      <w:hyperlink r:id="rId11" w:history="1">
        <w:r w:rsidRPr="006A20F6">
          <w:rPr>
            <w:rStyle w:val="Hyperlink"/>
            <w:rFonts w:cs="Arial"/>
          </w:rPr>
          <w:t>https://mentis.uta.edu/explore/profile/george-siemens</w:t>
        </w:r>
      </w:hyperlink>
      <w:r>
        <w:rPr>
          <w:rFonts w:cs="Arial"/>
        </w:rPr>
        <w:t xml:space="preserve"> </w:t>
      </w:r>
    </w:p>
    <w:p w14:paraId="1B1B4268" w14:textId="77777777" w:rsidR="000D7CC4" w:rsidRDefault="000E5E04" w:rsidP="000D7CC4">
      <w:pPr>
        <w:pStyle w:val="Heading3"/>
      </w:pPr>
      <w:r>
        <w:t>Office Hours</w:t>
      </w:r>
    </w:p>
    <w:p w14:paraId="7FCF4E58" w14:textId="494D5E02" w:rsidR="00C31056" w:rsidRPr="00A61871" w:rsidRDefault="00A61871" w:rsidP="00A470FF">
      <w:pPr>
        <w:rPr>
          <w:rFonts w:cs="Arial"/>
          <w:color w:val="548DD4" w:themeColor="text2" w:themeTint="99"/>
        </w:rPr>
      </w:pPr>
      <w:r w:rsidRPr="50125F4E">
        <w:rPr>
          <w:rFonts w:eastAsia="Times New Roman"/>
        </w:rPr>
        <w:t xml:space="preserve">Given the global nature of </w:t>
      </w:r>
      <w:r w:rsidR="005866A2">
        <w:rPr>
          <w:rFonts w:eastAsia="Times New Roman"/>
        </w:rPr>
        <w:t>the MS LA</w:t>
      </w:r>
      <w:r w:rsidRPr="50125F4E">
        <w:rPr>
          <w:rFonts w:eastAsia="Times New Roman"/>
        </w:rPr>
        <w:t xml:space="preserve"> program</w:t>
      </w:r>
      <w:r w:rsidR="005866A2">
        <w:rPr>
          <w:rFonts w:eastAsia="Times New Roman"/>
        </w:rPr>
        <w:t xml:space="preserve">, I haven’t set office </w:t>
      </w:r>
      <w:r w:rsidR="00AE699D">
        <w:rPr>
          <w:rFonts w:eastAsia="Times New Roman"/>
        </w:rPr>
        <w:t>hours</w:t>
      </w:r>
      <w:r w:rsidR="005866A2">
        <w:rPr>
          <w:rFonts w:eastAsia="Times New Roman"/>
        </w:rPr>
        <w:t xml:space="preserve">. I am willing to meet with you at flexible times. Please email me and I’ll confirm within 24 hours. </w:t>
      </w:r>
    </w:p>
    <w:p w14:paraId="4EFD7982" w14:textId="77777777" w:rsidR="000D7CC4" w:rsidRPr="000D7CC4" w:rsidRDefault="000D7CC4" w:rsidP="003611E2">
      <w:pPr>
        <w:pStyle w:val="Heading2"/>
      </w:pPr>
      <w:r>
        <w:t xml:space="preserve">Course </w:t>
      </w:r>
      <w:r w:rsidRPr="000D7CC4">
        <w:t>Information</w:t>
      </w:r>
    </w:p>
    <w:p w14:paraId="47631C1F" w14:textId="606B0012" w:rsidR="000D7CC4" w:rsidRDefault="00141EC6" w:rsidP="000D7CC4">
      <w:pPr>
        <w:pStyle w:val="Heading3"/>
      </w:pPr>
      <w:r w:rsidRPr="0016052E">
        <w:t>T</w:t>
      </w:r>
      <w:r w:rsidR="000E5E04">
        <w:t>ime and Place of Class Meetings</w:t>
      </w:r>
    </w:p>
    <w:p w14:paraId="427D3C6E" w14:textId="57902825" w:rsidR="05B80250" w:rsidRDefault="05B80250" w:rsidP="50125F4E">
      <w:pPr>
        <w:spacing w:line="259" w:lineRule="auto"/>
        <w:rPr>
          <w:rFonts w:cs="Arial"/>
        </w:rPr>
      </w:pPr>
      <w:r w:rsidRPr="50125F4E">
        <w:rPr>
          <w:rFonts w:cs="Arial"/>
        </w:rPr>
        <w:t>This course</w:t>
      </w:r>
      <w:r w:rsidR="009F3E01">
        <w:rPr>
          <w:rFonts w:cs="Arial"/>
        </w:rPr>
        <w:t>, and the entire MS LA, is exclusively online</w:t>
      </w:r>
      <w:r w:rsidRPr="50125F4E">
        <w:rPr>
          <w:rFonts w:cs="Arial"/>
        </w:rPr>
        <w:t xml:space="preserve">. </w:t>
      </w:r>
      <w:r w:rsidR="0035669E">
        <w:rPr>
          <w:rFonts w:cs="Arial"/>
        </w:rPr>
        <w:t>All meetings will be held online through MS Teams or Zoom</w:t>
      </w:r>
      <w:r w:rsidR="00B1473B">
        <w:rPr>
          <w:rFonts w:cs="Arial"/>
        </w:rPr>
        <w:t>.</w:t>
      </w:r>
      <w:r w:rsidR="00936E63">
        <w:rPr>
          <w:rFonts w:cs="Arial"/>
        </w:rPr>
        <w:t xml:space="preserve"> </w:t>
      </w:r>
    </w:p>
    <w:p w14:paraId="28CDD312" w14:textId="77777777" w:rsidR="000D7CC4" w:rsidRDefault="000E5E04" w:rsidP="000D7CC4">
      <w:pPr>
        <w:pStyle w:val="Heading3"/>
      </w:pPr>
      <w:r>
        <w:t>Description of Course Content</w:t>
      </w:r>
    </w:p>
    <w:p w14:paraId="7B272EA8" w14:textId="0E3C3EC9" w:rsidR="00C31056" w:rsidRDefault="0035669E" w:rsidP="17BD5C99">
      <w:pPr>
        <w:rPr>
          <w:rFonts w:cs="Arial"/>
        </w:rPr>
      </w:pPr>
      <w:r>
        <w:rPr>
          <w:rFonts w:cs="Arial"/>
        </w:rPr>
        <w:t xml:space="preserve">Independent Study is a course that allows students to pursue projects and research work that is directly relevant to personal interests but that might not be covered in the existing MSLA course sequencing. In this course, you will coordinate with your instructor to determine a personal path of study as well as the skills and knowledge that you would like to gain through the course. </w:t>
      </w:r>
      <w:r w:rsidR="00B1473B">
        <w:rPr>
          <w:rFonts w:cs="Arial"/>
        </w:rPr>
        <w:t>With the growing array of open learning materials, such as through Coursera</w:t>
      </w:r>
      <w:r w:rsidR="00B82EC9">
        <w:rPr>
          <w:rFonts w:cs="Arial"/>
        </w:rPr>
        <w:t xml:space="preserve"> or through professional societies like </w:t>
      </w:r>
      <w:proofErr w:type="spellStart"/>
      <w:r w:rsidR="00B82EC9">
        <w:rPr>
          <w:rFonts w:cs="Arial"/>
        </w:rPr>
        <w:t>SoLAR</w:t>
      </w:r>
      <w:proofErr w:type="spellEnd"/>
      <w:r w:rsidR="00B1473B">
        <w:rPr>
          <w:rFonts w:cs="Arial"/>
        </w:rPr>
        <w:t xml:space="preserve">, </w:t>
      </w:r>
      <w:r w:rsidR="00B82EC9">
        <w:rPr>
          <w:rFonts w:cs="Arial"/>
        </w:rPr>
        <w:t>provides students with an opportunity to craft a personal learning plan that is directly relevant to personal interests.</w:t>
      </w:r>
      <w:r w:rsidR="00B1473B">
        <w:rPr>
          <w:rFonts w:cs="Arial"/>
        </w:rPr>
        <w:t xml:space="preserve"> </w:t>
      </w:r>
    </w:p>
    <w:p w14:paraId="333C20A8" w14:textId="24BD895A" w:rsidR="00B1473B" w:rsidRDefault="00B1473B" w:rsidP="17BD5C99">
      <w:pPr>
        <w:rPr>
          <w:rFonts w:cs="Arial"/>
        </w:rPr>
      </w:pPr>
    </w:p>
    <w:p w14:paraId="164AFDA4" w14:textId="0DAD53A6" w:rsidR="00B1473B" w:rsidRDefault="00B1473B" w:rsidP="17BD5C99">
      <w:pPr>
        <w:rPr>
          <w:rFonts w:cs="Arial"/>
        </w:rPr>
      </w:pPr>
      <w:r>
        <w:rPr>
          <w:rFonts w:cs="Arial"/>
        </w:rPr>
        <w:t>The process of selecting your Independent Study involves three steps</w:t>
      </w:r>
      <w:r w:rsidR="00B82EC9">
        <w:rPr>
          <w:rFonts w:cs="Arial"/>
        </w:rPr>
        <w:t xml:space="preserve"> done in collaboration with the course instructor</w:t>
      </w:r>
      <w:r>
        <w:rPr>
          <w:rFonts w:cs="Arial"/>
        </w:rPr>
        <w:t>:</w:t>
      </w:r>
    </w:p>
    <w:p w14:paraId="11FD8D3D" w14:textId="77777777" w:rsidR="00B82EC9" w:rsidRDefault="00B82EC9" w:rsidP="17BD5C99">
      <w:pPr>
        <w:rPr>
          <w:rFonts w:cs="Arial"/>
        </w:rPr>
      </w:pPr>
    </w:p>
    <w:p w14:paraId="75DB51A1" w14:textId="5691221D" w:rsidR="00B1473B" w:rsidRDefault="00B1473B" w:rsidP="00B1473B">
      <w:pPr>
        <w:pStyle w:val="ListParagraph"/>
        <w:numPr>
          <w:ilvl w:val="0"/>
          <w:numId w:val="18"/>
        </w:numPr>
        <w:rPr>
          <w:rFonts w:cs="Arial"/>
        </w:rPr>
      </w:pPr>
      <w:r>
        <w:rPr>
          <w:rFonts w:cs="Arial"/>
        </w:rPr>
        <w:t>Determine scope and intent of project, resulting in a “Goal Statement”</w:t>
      </w:r>
    </w:p>
    <w:p w14:paraId="465D76EA" w14:textId="38416A8E" w:rsidR="00B1473B" w:rsidRDefault="00B1473B" w:rsidP="00B1473B">
      <w:pPr>
        <w:pStyle w:val="ListParagraph"/>
        <w:numPr>
          <w:ilvl w:val="0"/>
          <w:numId w:val="18"/>
        </w:numPr>
        <w:rPr>
          <w:rFonts w:cs="Arial"/>
        </w:rPr>
      </w:pPr>
      <w:r>
        <w:rPr>
          <w:rFonts w:cs="Arial"/>
        </w:rPr>
        <w:t>Detail learning outcomes for the duration of the course</w:t>
      </w:r>
    </w:p>
    <w:p w14:paraId="40A192A4" w14:textId="32547903" w:rsidR="00B82EC9" w:rsidRPr="00B1473B" w:rsidRDefault="00B82EC9" w:rsidP="00B1473B">
      <w:pPr>
        <w:pStyle w:val="ListParagraph"/>
        <w:numPr>
          <w:ilvl w:val="0"/>
          <w:numId w:val="18"/>
        </w:numPr>
        <w:rPr>
          <w:rFonts w:cs="Arial"/>
        </w:rPr>
      </w:pPr>
      <w:r>
        <w:rPr>
          <w:rFonts w:cs="Arial"/>
        </w:rPr>
        <w:t>Create a detailed schedule of key activities as well as milestones</w:t>
      </w:r>
    </w:p>
    <w:p w14:paraId="2935CA0F" w14:textId="03EE8AF5" w:rsidR="00141EC6" w:rsidRDefault="000E5E04" w:rsidP="00C31056">
      <w:pPr>
        <w:pStyle w:val="Heading3"/>
      </w:pPr>
      <w:r>
        <w:t>Student Learning Outcomes</w:t>
      </w:r>
    </w:p>
    <w:p w14:paraId="121D5BC9" w14:textId="4D6EBAA1" w:rsidR="002F5F4D" w:rsidRDefault="002F5F4D" w:rsidP="002F5F4D"/>
    <w:p w14:paraId="2BFA9C97" w14:textId="1A945A5B" w:rsidR="00B82EC9" w:rsidRDefault="00B82EC9" w:rsidP="002F5F4D">
      <w:r>
        <w:t>The learning outcomes for this course are set in consultation with your instructor. The scope of work should be in</w:t>
      </w:r>
      <w:r w:rsidR="00EB44D2">
        <w:t>-</w:t>
      </w:r>
      <w:r>
        <w:t xml:space="preserve">line with a rigorous graduate course and should reflect the time required to succeed in </w:t>
      </w:r>
      <w:r w:rsidR="00EB44D2">
        <w:t xml:space="preserve">advanced studies. As such, the outcomes will need to demonstrate sustained and significant effort as well as challenging activities that address the general MSLA program. </w:t>
      </w:r>
    </w:p>
    <w:p w14:paraId="485B07B6" w14:textId="77777777" w:rsidR="00EB44D2" w:rsidRDefault="00EB44D2" w:rsidP="002F5F4D"/>
    <w:p w14:paraId="73432797" w14:textId="6EAD86E8" w:rsidR="000D7CC4" w:rsidRPr="008938AC" w:rsidRDefault="00141EC6" w:rsidP="002F5F4D">
      <w:pPr>
        <w:rPr>
          <w:i/>
          <w:iCs/>
        </w:rPr>
      </w:pPr>
      <w:r w:rsidRPr="008938AC">
        <w:rPr>
          <w:i/>
          <w:iCs/>
        </w:rPr>
        <w:t xml:space="preserve">Required Textbooks and Other </w:t>
      </w:r>
      <w:r w:rsidR="000E5E04" w:rsidRPr="008938AC">
        <w:rPr>
          <w:i/>
          <w:iCs/>
        </w:rPr>
        <w:t>Course Materials</w:t>
      </w:r>
    </w:p>
    <w:p w14:paraId="792B2F70" w14:textId="6A91F106" w:rsidR="0026516D" w:rsidRDefault="00EB44D2" w:rsidP="00141EC6">
      <w:pPr>
        <w:rPr>
          <w:rFonts w:cs="Arial"/>
        </w:rPr>
      </w:pPr>
      <w:r>
        <w:rPr>
          <w:rFonts w:cs="Arial"/>
        </w:rPr>
        <w:t>No textbooks or readings are required, but the outcomes of selecting your area of independent study will require academic readings and literature.</w:t>
      </w:r>
    </w:p>
    <w:p w14:paraId="1BC3632C" w14:textId="2AF61D81" w:rsidR="005866A2" w:rsidRDefault="005866A2" w:rsidP="00141EC6">
      <w:pPr>
        <w:rPr>
          <w:rFonts w:cs="Arial"/>
        </w:rPr>
      </w:pPr>
    </w:p>
    <w:p w14:paraId="3ED6B8D4" w14:textId="7BD867C4" w:rsidR="005866A2" w:rsidRDefault="005866A2" w:rsidP="00141EC6">
      <w:pPr>
        <w:rPr>
          <w:rFonts w:cs="Arial"/>
          <w:color w:val="548DD4" w:themeColor="text2" w:themeTint="99"/>
        </w:rPr>
      </w:pPr>
    </w:p>
    <w:p w14:paraId="69719AFA" w14:textId="58BDABE7" w:rsidR="00141EC6" w:rsidRDefault="00141EC6" w:rsidP="0005773E">
      <w:pPr>
        <w:pStyle w:val="Heading3"/>
      </w:pPr>
      <w:r w:rsidRPr="009D756D">
        <w:t>Descriptions of maj</w:t>
      </w:r>
      <w:r w:rsidR="0005773E">
        <w:t>or assignments and examinations</w:t>
      </w:r>
    </w:p>
    <w:p w14:paraId="01BEEE4D" w14:textId="77777777" w:rsidR="00B617DD" w:rsidRDefault="00B617DD" w:rsidP="00474FE5"/>
    <w:p w14:paraId="69927526" w14:textId="74B71297" w:rsidR="00B90B72" w:rsidRPr="00B90B72" w:rsidRDefault="00474FE5" w:rsidP="00474FE5">
      <w:pPr>
        <w:rPr>
          <w:u w:val="single"/>
        </w:rPr>
      </w:pPr>
      <w:r w:rsidRPr="50125F4E">
        <w:rPr>
          <w:u w:val="single"/>
        </w:rPr>
        <w:t>Assignments</w:t>
      </w:r>
    </w:p>
    <w:p w14:paraId="794A0313" w14:textId="0A415E10" w:rsidR="00B90B72" w:rsidRDefault="00B90B72" w:rsidP="17BD5C99">
      <w:pPr>
        <w:rPr>
          <w:rFonts w:cs="Arial"/>
        </w:rPr>
      </w:pPr>
      <w:r>
        <w:rPr>
          <w:rFonts w:cs="Arial"/>
        </w:rPr>
        <w:t>This course has three primary assignments</w:t>
      </w:r>
      <w:r w:rsidR="00EB44D2">
        <w:rPr>
          <w:rFonts w:cs="Arial"/>
        </w:rPr>
        <w:t>, each with tight time constraints. Failure to achieve the activities in the times indicated in the schedule will result in a zero grade for that assignment.</w:t>
      </w:r>
    </w:p>
    <w:p w14:paraId="0526F9F0" w14:textId="28799E02" w:rsidR="00B90B72" w:rsidRDefault="00B90B72" w:rsidP="00B90B72">
      <w:pPr>
        <w:rPr>
          <w:rFonts w:cs="Arial"/>
        </w:rPr>
      </w:pPr>
    </w:p>
    <w:p w14:paraId="5CAF83F3" w14:textId="02F87066" w:rsidR="00B90B72" w:rsidRPr="00876837" w:rsidRDefault="00556C49" w:rsidP="00B90B72">
      <w:pPr>
        <w:rPr>
          <w:rFonts w:cs="Arial"/>
          <w:i/>
          <w:iCs/>
        </w:rPr>
      </w:pPr>
      <w:r>
        <w:rPr>
          <w:rFonts w:cs="Arial"/>
          <w:i/>
          <w:iCs/>
        </w:rPr>
        <w:t>Learning Contract</w:t>
      </w:r>
      <w:r w:rsidR="00EB44D2">
        <w:rPr>
          <w:rFonts w:cs="Arial"/>
          <w:i/>
          <w:iCs/>
        </w:rPr>
        <w:t>: 15</w:t>
      </w:r>
      <w:r w:rsidR="00B90B72" w:rsidRPr="00876837">
        <w:rPr>
          <w:rFonts w:cs="Arial"/>
          <w:i/>
          <w:iCs/>
        </w:rPr>
        <w:t>%</w:t>
      </w:r>
    </w:p>
    <w:p w14:paraId="4C0B3E8F" w14:textId="01CD6446" w:rsidR="00B90B72" w:rsidRDefault="00EB44D2" w:rsidP="00B90B72">
      <w:pPr>
        <w:rPr>
          <w:rFonts w:cs="Arial"/>
        </w:rPr>
      </w:pPr>
      <w:r>
        <w:rPr>
          <w:rFonts w:cs="Arial"/>
        </w:rPr>
        <w:t xml:space="preserve">This assignment will require you </w:t>
      </w:r>
      <w:r w:rsidR="00AB3AC2">
        <w:rPr>
          <w:rFonts w:cs="Arial"/>
        </w:rPr>
        <w:t xml:space="preserve">to create </w:t>
      </w:r>
      <w:r w:rsidR="00201826">
        <w:rPr>
          <w:rFonts w:cs="Arial"/>
        </w:rPr>
        <w:t>2-3</w:t>
      </w:r>
      <w:r>
        <w:rPr>
          <w:rFonts w:cs="Arial"/>
        </w:rPr>
        <w:t xml:space="preserve"> page </w:t>
      </w:r>
      <w:r w:rsidR="00AB3AC2">
        <w:rPr>
          <w:rFonts w:cs="Arial"/>
        </w:rPr>
        <w:t xml:space="preserve">“contract” or </w:t>
      </w:r>
      <w:r>
        <w:rPr>
          <w:rFonts w:cs="Arial"/>
        </w:rPr>
        <w:t>overview of your Independent Study</w:t>
      </w:r>
      <w:r w:rsidR="00201826">
        <w:rPr>
          <w:rFonts w:cs="Arial"/>
        </w:rPr>
        <w:t xml:space="preserve"> and should include your motivation and interests, goals,</w:t>
      </w:r>
      <w:r w:rsidR="00AB3AC2">
        <w:rPr>
          <w:rFonts w:cs="Arial"/>
        </w:rPr>
        <w:t xml:space="preserve"> </w:t>
      </w:r>
      <w:r w:rsidR="00201826">
        <w:rPr>
          <w:rFonts w:cs="Arial"/>
        </w:rPr>
        <w:t>learning plan, and artifacts that you will develop as part of your studies.</w:t>
      </w:r>
    </w:p>
    <w:p w14:paraId="64CB028D" w14:textId="77777777" w:rsidR="00876837" w:rsidRDefault="00876837" w:rsidP="00B90B72">
      <w:pPr>
        <w:rPr>
          <w:rFonts w:cs="Arial"/>
        </w:rPr>
      </w:pPr>
    </w:p>
    <w:p w14:paraId="52971AF9" w14:textId="758E4F61" w:rsidR="00B90B72" w:rsidRPr="005277E2" w:rsidRDefault="00201826" w:rsidP="00B90B72">
      <w:pPr>
        <w:rPr>
          <w:rFonts w:cs="Arial"/>
          <w:i/>
          <w:iCs/>
        </w:rPr>
      </w:pPr>
      <w:r>
        <w:rPr>
          <w:rFonts w:cs="Arial"/>
          <w:i/>
          <w:iCs/>
        </w:rPr>
        <w:t>Learning Outcomes</w:t>
      </w:r>
      <w:r w:rsidR="00B90B72" w:rsidRPr="005277E2">
        <w:rPr>
          <w:rFonts w:cs="Arial"/>
          <w:i/>
          <w:iCs/>
        </w:rPr>
        <w:t xml:space="preserve"> </w:t>
      </w:r>
      <w:r>
        <w:rPr>
          <w:rFonts w:cs="Arial"/>
          <w:i/>
          <w:iCs/>
        </w:rPr>
        <w:t>10</w:t>
      </w:r>
      <w:r w:rsidR="00B90B72" w:rsidRPr="005277E2">
        <w:rPr>
          <w:rFonts w:cs="Arial"/>
          <w:i/>
          <w:iCs/>
        </w:rPr>
        <w:t>%</w:t>
      </w:r>
    </w:p>
    <w:p w14:paraId="00B16BF6" w14:textId="63A1DFAB" w:rsidR="00B90B72" w:rsidRDefault="00201826" w:rsidP="17BD5C99">
      <w:pPr>
        <w:rPr>
          <w:rFonts w:cs="Arial"/>
        </w:rPr>
      </w:pPr>
      <w:r>
        <w:rPr>
          <w:rFonts w:cs="Arial"/>
        </w:rPr>
        <w:t>This assignment requires that you develop between 4-6 outcomes, written in general language common in learning design, that detail clearly the intended outcomes</w:t>
      </w:r>
      <w:r w:rsidR="004E77C9">
        <w:rPr>
          <w:rFonts w:cs="Arial"/>
        </w:rPr>
        <w:t>.</w:t>
      </w:r>
      <w:r w:rsidR="00556C49">
        <w:rPr>
          <w:rFonts w:cs="Arial"/>
        </w:rPr>
        <w:t xml:space="preserve"> It will be part of your contract, but grade separately.</w:t>
      </w:r>
    </w:p>
    <w:p w14:paraId="2BE80D4C" w14:textId="77777777" w:rsidR="00876837" w:rsidRDefault="00876837" w:rsidP="17BD5C99">
      <w:pPr>
        <w:rPr>
          <w:rFonts w:cs="Arial"/>
        </w:rPr>
      </w:pPr>
    </w:p>
    <w:p w14:paraId="13B48AC2" w14:textId="142C28F7" w:rsidR="00B90B72" w:rsidRPr="005277E2" w:rsidRDefault="007D18D2" w:rsidP="17BD5C99">
      <w:pPr>
        <w:rPr>
          <w:rFonts w:cs="Arial"/>
          <w:i/>
          <w:iCs/>
        </w:rPr>
      </w:pPr>
      <w:r>
        <w:rPr>
          <w:rFonts w:cs="Arial"/>
          <w:i/>
          <w:iCs/>
        </w:rPr>
        <w:t>Independent Study Work</w:t>
      </w:r>
      <w:r w:rsidR="00B90B72" w:rsidRPr="005277E2">
        <w:rPr>
          <w:rFonts w:cs="Arial"/>
          <w:i/>
          <w:iCs/>
        </w:rPr>
        <w:t xml:space="preserve"> </w:t>
      </w:r>
      <w:r>
        <w:rPr>
          <w:rFonts w:cs="Arial"/>
          <w:i/>
          <w:iCs/>
        </w:rPr>
        <w:t>75</w:t>
      </w:r>
      <w:r w:rsidR="00B90B72" w:rsidRPr="005277E2">
        <w:rPr>
          <w:rFonts w:cs="Arial"/>
          <w:i/>
          <w:iCs/>
        </w:rPr>
        <w:t>%</w:t>
      </w:r>
    </w:p>
    <w:p w14:paraId="7FA37C37" w14:textId="203ECD2E" w:rsidR="007D18D2" w:rsidRDefault="007D18D2" w:rsidP="17BD5C99">
      <w:pPr>
        <w:rPr>
          <w:rFonts w:cs="Arial"/>
        </w:rPr>
      </w:pPr>
      <w:r>
        <w:rPr>
          <w:rFonts w:cs="Arial"/>
        </w:rPr>
        <w:t>The actual project has several components:</w:t>
      </w:r>
    </w:p>
    <w:p w14:paraId="25193341" w14:textId="6C7E0844" w:rsidR="00B90B72" w:rsidRDefault="007D18D2" w:rsidP="007D18D2">
      <w:pPr>
        <w:pStyle w:val="ListParagraph"/>
        <w:numPr>
          <w:ilvl w:val="0"/>
          <w:numId w:val="19"/>
        </w:numPr>
        <w:rPr>
          <w:rFonts w:cs="Arial"/>
        </w:rPr>
      </w:pPr>
      <w:r w:rsidRPr="007D18D2">
        <w:rPr>
          <w:rFonts w:cs="Arial"/>
        </w:rPr>
        <w:t xml:space="preserve">On a weekly basis, once you’ve completed the first two assignments (Focus and Outcomes), you will provide a short </w:t>
      </w:r>
      <w:r w:rsidR="00AB3AC2">
        <w:rPr>
          <w:rFonts w:cs="Arial"/>
        </w:rPr>
        <w:t>progress</w:t>
      </w:r>
      <w:r w:rsidRPr="007D18D2">
        <w:rPr>
          <w:rFonts w:cs="Arial"/>
        </w:rPr>
        <w:t xml:space="preserve"> update (~250 words) that detail</w:t>
      </w:r>
      <w:r w:rsidR="00AB3AC2">
        <w:rPr>
          <w:rFonts w:cs="Arial"/>
        </w:rPr>
        <w:t>s</w:t>
      </w:r>
      <w:r w:rsidRPr="007D18D2">
        <w:rPr>
          <w:rFonts w:cs="Arial"/>
        </w:rPr>
        <w:t xml:space="preserve"> what you did during the week in relation to your project (this is </w:t>
      </w:r>
      <w:r w:rsidR="00AB3AC2">
        <w:rPr>
          <w:rFonts w:cs="Arial"/>
        </w:rPr>
        <w:t>3</w:t>
      </w:r>
      <w:r w:rsidRPr="007D18D2">
        <w:rPr>
          <w:rFonts w:cs="Arial"/>
        </w:rPr>
        <w:t>0% of the course grade)</w:t>
      </w:r>
      <w:r w:rsidR="00AB3AC2">
        <w:rPr>
          <w:rFonts w:cs="Arial"/>
        </w:rPr>
        <w:t xml:space="preserve"> and what you are learning. You will submit this in three stages of the course, each contributing to 10% total course grade.</w:t>
      </w:r>
    </w:p>
    <w:p w14:paraId="622AAAFE" w14:textId="00DD1701" w:rsidR="007D18D2" w:rsidRDefault="007D18D2" w:rsidP="007D18D2">
      <w:pPr>
        <w:pStyle w:val="ListParagraph"/>
        <w:numPr>
          <w:ilvl w:val="0"/>
          <w:numId w:val="19"/>
        </w:numPr>
        <w:rPr>
          <w:rFonts w:cs="Arial"/>
        </w:rPr>
      </w:pPr>
      <w:r>
        <w:rPr>
          <w:rFonts w:cs="Arial"/>
        </w:rPr>
        <w:t xml:space="preserve">A final detailed presentation (~30 minutes) that </w:t>
      </w:r>
      <w:r w:rsidR="00AB3AC2">
        <w:rPr>
          <w:rFonts w:cs="Arial"/>
        </w:rPr>
        <w:t xml:space="preserve">describe </w:t>
      </w:r>
      <w:r>
        <w:rPr>
          <w:rFonts w:cs="Arial"/>
        </w:rPr>
        <w:t>what you learned, what you did in the course</w:t>
      </w:r>
      <w:r w:rsidR="00B05287">
        <w:rPr>
          <w:rFonts w:cs="Arial"/>
        </w:rPr>
        <w:t>, and the artifacts that support evidence of learning (</w:t>
      </w:r>
      <w:r w:rsidR="00AB3AC2">
        <w:rPr>
          <w:rFonts w:cs="Arial"/>
        </w:rPr>
        <w:t>3</w:t>
      </w:r>
      <w:r w:rsidR="00B05287">
        <w:rPr>
          <w:rFonts w:cs="Arial"/>
        </w:rPr>
        <w:t>0% of the course grade)</w:t>
      </w:r>
    </w:p>
    <w:p w14:paraId="6B7172F8" w14:textId="17C8D618" w:rsidR="00B05287" w:rsidRPr="007D18D2" w:rsidRDefault="00B05287" w:rsidP="007D18D2">
      <w:pPr>
        <w:pStyle w:val="ListParagraph"/>
        <w:numPr>
          <w:ilvl w:val="0"/>
          <w:numId w:val="19"/>
        </w:numPr>
        <w:rPr>
          <w:rFonts w:cs="Arial"/>
        </w:rPr>
      </w:pPr>
      <w:r>
        <w:rPr>
          <w:rFonts w:cs="Arial"/>
        </w:rPr>
        <w:t>Artifacts of learning (this is planned with your instructor early in the course and assessed at the end). (15% of the course grade)</w:t>
      </w:r>
    </w:p>
    <w:p w14:paraId="51983828" w14:textId="77777777" w:rsidR="005277E2" w:rsidRDefault="005277E2" w:rsidP="17BD5C99">
      <w:pPr>
        <w:rPr>
          <w:rFonts w:cs="Arial"/>
        </w:rPr>
      </w:pPr>
    </w:p>
    <w:p w14:paraId="7963D914" w14:textId="1E320876" w:rsidR="009326F0" w:rsidRPr="0005773E" w:rsidRDefault="009326F0" w:rsidP="009326F0">
      <w:pPr>
        <w:pStyle w:val="Heading3"/>
      </w:pPr>
      <w:r>
        <w:t>Technology Requirements</w:t>
      </w:r>
    </w:p>
    <w:p w14:paraId="35634C73" w14:textId="665960B7" w:rsidR="008938AC" w:rsidRPr="008938AC" w:rsidRDefault="00C9390F" w:rsidP="009326F0">
      <w:pPr>
        <w:rPr>
          <w:rFonts w:cs="Arial"/>
        </w:rPr>
      </w:pPr>
      <w:r>
        <w:rPr>
          <w:rFonts w:cs="Arial"/>
        </w:rPr>
        <w:t xml:space="preserve">This course will primarily take place in </w:t>
      </w:r>
      <w:r w:rsidR="00B94D3B" w:rsidRPr="50125F4E">
        <w:rPr>
          <w:rFonts w:cs="Arial"/>
        </w:rPr>
        <w:t>Canvas</w:t>
      </w:r>
      <w:r w:rsidR="00B90B72">
        <w:rPr>
          <w:rFonts w:cs="Arial"/>
        </w:rPr>
        <w:t xml:space="preserve">, with some </w:t>
      </w:r>
      <w:r w:rsidR="004E77C9">
        <w:rPr>
          <w:rFonts w:cs="Arial"/>
        </w:rPr>
        <w:t>one-on-one</w:t>
      </w:r>
      <w:r w:rsidR="00B05287">
        <w:rPr>
          <w:rFonts w:cs="Arial"/>
        </w:rPr>
        <w:t xml:space="preserve"> meetings held</w:t>
      </w:r>
      <w:r w:rsidR="00B90B72">
        <w:rPr>
          <w:rFonts w:cs="Arial"/>
        </w:rPr>
        <w:t xml:space="preserve"> </w:t>
      </w:r>
      <w:r w:rsidR="00876837">
        <w:rPr>
          <w:rFonts w:cs="Arial"/>
        </w:rPr>
        <w:t>in Zoom or MS Teams.</w:t>
      </w:r>
    </w:p>
    <w:p w14:paraId="045651E1" w14:textId="77777777" w:rsidR="000D7CC4" w:rsidRDefault="0005773E" w:rsidP="000D7CC4">
      <w:pPr>
        <w:pStyle w:val="Heading3"/>
      </w:pPr>
      <w:r w:rsidRPr="50125F4E">
        <w:t>Other Requirements</w:t>
      </w:r>
    </w:p>
    <w:p w14:paraId="56D8F362" w14:textId="2839EB7C" w:rsidR="008938AC" w:rsidRDefault="008938AC" w:rsidP="00D665D2">
      <w:pPr>
        <w:rPr>
          <w:rFonts w:cs="Arial"/>
        </w:rPr>
      </w:pPr>
      <w:r>
        <w:rPr>
          <w:rFonts w:cs="Arial"/>
        </w:rPr>
        <w:t xml:space="preserve">You will also be invited to attend online webinars and conference during the duration of the course, and the MS LA program in general. These events may require additional technologies not detailed above. </w:t>
      </w:r>
    </w:p>
    <w:p w14:paraId="510BCABD" w14:textId="4C6D9491" w:rsidR="008938AC" w:rsidRDefault="008938AC" w:rsidP="00D665D2">
      <w:pPr>
        <w:rPr>
          <w:rFonts w:cs="Arial"/>
        </w:rPr>
      </w:pPr>
    </w:p>
    <w:p w14:paraId="22E96BB3" w14:textId="1E652849" w:rsidR="008938AC" w:rsidRDefault="008938AC" w:rsidP="00D665D2">
      <w:pPr>
        <w:rPr>
          <w:rFonts w:cs="Arial"/>
        </w:rPr>
      </w:pPr>
      <w:r>
        <w:rPr>
          <w:rFonts w:cs="Arial"/>
        </w:rPr>
        <w:t xml:space="preserve">You will explore additional technologies as you do your group work and methodologies. These tools will be decided by your group members, but none will be required or mandated. </w:t>
      </w:r>
    </w:p>
    <w:p w14:paraId="2538C467" w14:textId="77777777" w:rsidR="008938AC" w:rsidRDefault="008938AC" w:rsidP="00D665D2">
      <w:pPr>
        <w:rPr>
          <w:rFonts w:cs="Arial"/>
          <w:color w:val="548DD4" w:themeColor="text2" w:themeTint="99"/>
        </w:rPr>
      </w:pPr>
    </w:p>
    <w:p w14:paraId="6F948595" w14:textId="513D5A46" w:rsidR="000D7CC4" w:rsidRPr="000D7CC4" w:rsidRDefault="000D7CC4" w:rsidP="003611E2">
      <w:pPr>
        <w:pStyle w:val="Heading2"/>
      </w:pPr>
      <w:r>
        <w:t xml:space="preserve">Grading </w:t>
      </w:r>
      <w:r w:rsidRPr="000D7CC4">
        <w:t>Information</w:t>
      </w:r>
    </w:p>
    <w:p w14:paraId="2FD58976" w14:textId="23D290F8" w:rsidR="000D7CC4" w:rsidRDefault="0005773E" w:rsidP="000D7CC4">
      <w:pPr>
        <w:pStyle w:val="Heading3"/>
      </w:pPr>
      <w:r>
        <w:t>Grading</w:t>
      </w:r>
    </w:p>
    <w:p w14:paraId="2E072FBC" w14:textId="645683BE" w:rsidR="0005773E" w:rsidRDefault="0005773E" w:rsidP="17BD5C99">
      <w:pPr>
        <w:rPr>
          <w:rFonts w:cs="Arial"/>
          <w:color w:val="FF0000"/>
        </w:rPr>
      </w:pPr>
    </w:p>
    <w:p w14:paraId="66090CED" w14:textId="103D8E65" w:rsidR="00672520" w:rsidRPr="00600D3E" w:rsidRDefault="008938AC" w:rsidP="17BD5C99">
      <w:pPr>
        <w:rPr>
          <w:rFonts w:cs="Arial"/>
        </w:rPr>
      </w:pPr>
      <w:r>
        <w:rPr>
          <w:rFonts w:cs="Arial"/>
        </w:rPr>
        <w:t>Grades will be posted</w:t>
      </w:r>
      <w:r w:rsidR="00672520" w:rsidRPr="00600D3E">
        <w:rPr>
          <w:rFonts w:cs="Arial"/>
        </w:rPr>
        <w:t xml:space="preserve"> on Canvas following </w:t>
      </w:r>
      <w:r>
        <w:rPr>
          <w:rFonts w:cs="Arial"/>
        </w:rPr>
        <w:t xml:space="preserve">three days after </w:t>
      </w:r>
      <w:r w:rsidR="00672520" w:rsidRPr="00600D3E">
        <w:rPr>
          <w:rFonts w:cs="Arial"/>
        </w:rPr>
        <w:t>each assignment</w:t>
      </w:r>
      <w:r>
        <w:rPr>
          <w:rFonts w:cs="Arial"/>
        </w:rPr>
        <w:t xml:space="preserve"> has been submitted</w:t>
      </w:r>
      <w:r w:rsidR="0052123B" w:rsidRPr="00600D3E">
        <w:rPr>
          <w:rFonts w:cs="Arial"/>
        </w:rPr>
        <w:t>.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lastRenderedPageBreak/>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492BF5D" w14:textId="52F79F98" w:rsidR="0052123B" w:rsidRDefault="0052123B" w:rsidP="17BD5C99">
      <w:pPr>
        <w:rPr>
          <w:rFonts w:cs="Arial"/>
        </w:rPr>
      </w:pPr>
    </w:p>
    <w:p w14:paraId="7247F42A" w14:textId="6E4DD9D6"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w:t>
      </w:r>
      <w:r w:rsidR="005866A2">
        <w:rPr>
          <w:rFonts w:cs="Arial"/>
        </w:rPr>
        <w:t>engagement with the course</w:t>
      </w:r>
      <w:r w:rsidRPr="00600D3E">
        <w:rPr>
          <w:rFonts w:cs="Arial"/>
        </w:rPr>
        <w:t xml:space="preserve"> and reading of the assigned material</w:t>
      </w:r>
      <w:r w:rsidR="00876837">
        <w:rPr>
          <w:rFonts w:cs="Arial"/>
        </w:rPr>
        <w:t xml:space="preserve"> within the assigned week.</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C8C2A04" w:rsidR="0005773E" w:rsidRPr="00735C67" w:rsidRDefault="00F37C80" w:rsidP="009D0858">
      <w:r w:rsidRPr="50125F4E">
        <w:t xml:space="preserve">Beyond the time required to </w:t>
      </w:r>
      <w:r w:rsidR="005866A2">
        <w:t>view each online lecture</w:t>
      </w:r>
      <w:r w:rsidRPr="50125F4E">
        <w:t xml:space="preserve">, students should expect to spend at least an additional </w:t>
      </w:r>
      <w:r w:rsidR="00454031" w:rsidRPr="50125F4E">
        <w:t>5</w:t>
      </w:r>
      <w:r w:rsidR="007C7E70" w:rsidRPr="50125F4E">
        <w:t>-</w:t>
      </w:r>
      <w:r w:rsidR="005866A2">
        <w:t>7</w:t>
      </w:r>
      <w:r w:rsidR="007C7E70" w:rsidRPr="50125F4E">
        <w:t xml:space="preserve"> hours per week in course-related activities, including reading required materials, </w:t>
      </w:r>
      <w:r w:rsidR="005866A2">
        <w:t xml:space="preserve">engaging with peers, and </w:t>
      </w:r>
      <w:r w:rsidR="007C7E70" w:rsidRPr="50125F4E">
        <w:t>completing assignments.</w:t>
      </w:r>
    </w:p>
    <w:p w14:paraId="7D6D46FE" w14:textId="77777777" w:rsidR="000D7CC4" w:rsidRPr="000D7CC4" w:rsidRDefault="009D0858" w:rsidP="000D7CC4">
      <w:pPr>
        <w:pStyle w:val="Heading3"/>
      </w:pPr>
      <w:r w:rsidRPr="50125F4E">
        <w:t>Grade Grievanc</w:t>
      </w:r>
      <w:r w:rsidR="0067588F" w:rsidRPr="50125F4E">
        <w:t>es</w:t>
      </w:r>
    </w:p>
    <w:p w14:paraId="64497123" w14:textId="417C39DC" w:rsidR="009D0858" w:rsidRDefault="009D756D" w:rsidP="009D0858">
      <w:pPr>
        <w:rPr>
          <w:rFonts w:cs="Arial"/>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55C4814A" w14:textId="6EA0E1F3" w:rsidR="0095083D" w:rsidRDefault="0095083D" w:rsidP="009D0858">
      <w:pPr>
        <w:rPr>
          <w:rFonts w:cs="Arial"/>
        </w:rPr>
      </w:pPr>
    </w:p>
    <w:p w14:paraId="2D0920F6" w14:textId="041C620A" w:rsidR="0095083D" w:rsidRDefault="0095083D" w:rsidP="009D0858">
      <w:pPr>
        <w:rPr>
          <w:rFonts w:cs="Arial"/>
          <w:b/>
          <w:bCs/>
        </w:rPr>
      </w:pPr>
      <w:r w:rsidRPr="0095083D">
        <w:rPr>
          <w:rFonts w:cs="Arial"/>
          <w:b/>
          <w:bCs/>
        </w:rPr>
        <w:t xml:space="preserve">Regarding AI and cognitive tools (such as </w:t>
      </w:r>
      <w:proofErr w:type="spellStart"/>
      <w:r w:rsidRPr="0095083D">
        <w:rPr>
          <w:rFonts w:cs="Arial"/>
          <w:b/>
          <w:bCs/>
        </w:rPr>
        <w:t>ChatGPT</w:t>
      </w:r>
      <w:proofErr w:type="spellEnd"/>
      <w:r w:rsidRPr="0095083D">
        <w:rPr>
          <w:rFonts w:cs="Arial"/>
          <w:b/>
          <w:bCs/>
        </w:rPr>
        <w:t>)</w:t>
      </w:r>
    </w:p>
    <w:p w14:paraId="4FE9B9B4" w14:textId="33DEBF9A" w:rsidR="0095083D" w:rsidRPr="0095083D" w:rsidRDefault="0095083D" w:rsidP="009D0858">
      <w:pPr>
        <w:rPr>
          <w:rFonts w:cs="Arial"/>
          <w:color w:val="365F91" w:themeColor="accent1" w:themeShade="BF"/>
        </w:rPr>
      </w:pPr>
      <w:r>
        <w:rPr>
          <w:rFonts w:cs="Arial"/>
        </w:rPr>
        <w:t xml:space="preserve">I fully expect students to use all available tools and technologies to produce their best work. When you use automated writing tools (Moonbeam, </w:t>
      </w:r>
      <w:proofErr w:type="spellStart"/>
      <w:r>
        <w:rPr>
          <w:rFonts w:cs="Arial"/>
        </w:rPr>
        <w:t>ChatGPT</w:t>
      </w:r>
      <w:proofErr w:type="spellEnd"/>
      <w:r>
        <w:rPr>
          <w:rFonts w:cs="Arial"/>
        </w:rPr>
        <w:t xml:space="preserve">), please include in the appendix the process of use. For example, include the prompt for producing text and the </w:t>
      </w:r>
      <w:proofErr w:type="gramStart"/>
      <w:r>
        <w:rPr>
          <w:rFonts w:cs="Arial"/>
        </w:rPr>
        <w:t>first generation</w:t>
      </w:r>
      <w:proofErr w:type="gramEnd"/>
      <w:r>
        <w:rPr>
          <w:rFonts w:cs="Arial"/>
        </w:rPr>
        <w:t xml:space="preserve"> version and subsequent adjustments that you make or that you re-process with AI tools. The intent is for you to intentionally detail how you produce writing and the ways that AI shapes your output.</w:t>
      </w:r>
    </w:p>
    <w:p w14:paraId="70863716" w14:textId="77777777" w:rsidR="00766DC7" w:rsidRPr="000D7CC4" w:rsidRDefault="00766DC7" w:rsidP="00766DC7">
      <w:pPr>
        <w:pStyle w:val="Heading2"/>
      </w:pPr>
      <w:r>
        <w:t xml:space="preserve">Course </w:t>
      </w:r>
      <w:r w:rsidRPr="003611E2">
        <w:t>Schedule</w:t>
      </w:r>
    </w:p>
    <w:p w14:paraId="72E077B6" w14:textId="0D363C0B" w:rsidR="00C45DCC" w:rsidRDefault="00766DC7" w:rsidP="00766DC7">
      <w:pPr>
        <w:rPr>
          <w:rFonts w:cs="Arial"/>
          <w:color w:val="365F91" w:themeColor="accent1" w:themeShade="BF"/>
        </w:rPr>
      </w:pPr>
      <w:r w:rsidRPr="50125F4E">
        <w:rPr>
          <w:rFonts w:cs="Arial"/>
        </w:rPr>
        <w:t xml:space="preserve">As the </w:t>
      </w:r>
      <w:r w:rsidR="00C45DCC" w:rsidRPr="50125F4E">
        <w:rPr>
          <w:rFonts w:cs="Arial"/>
        </w:rPr>
        <w:t xml:space="preserve">instructor for this course, </w:t>
      </w:r>
      <w:r w:rsidR="00AE699D">
        <w:rPr>
          <w:rFonts w:cs="Arial"/>
        </w:rPr>
        <w:t>I</w:t>
      </w:r>
      <w:r w:rsidR="00C45DCC" w:rsidRPr="50125F4E">
        <w:rPr>
          <w:rFonts w:cs="Arial"/>
        </w:rPr>
        <w:t xml:space="preserve"> reserve the right to adjust this schedule in any way that serves the educational needs of the students enrolled in this course. </w:t>
      </w:r>
      <w:r w:rsidR="005866A2">
        <w:rPr>
          <w:rFonts w:cs="Arial"/>
        </w:rPr>
        <w:t xml:space="preserve">This may include the addition of a guest speaker or changes to </w:t>
      </w:r>
      <w:r w:rsidR="00160D21">
        <w:rPr>
          <w:rFonts w:cs="Arial"/>
        </w:rPr>
        <w:t>the</w:t>
      </w:r>
      <w:r w:rsidR="005866A2">
        <w:rPr>
          <w:rFonts w:cs="Arial"/>
        </w:rPr>
        <w:t xml:space="preserve"> course material covered during the weeks detailed below. </w:t>
      </w:r>
    </w:p>
    <w:p w14:paraId="5F97E447" w14:textId="77777777" w:rsidR="00812550" w:rsidRDefault="00812550" w:rsidP="00766DC7">
      <w:pPr>
        <w:rPr>
          <w:rFonts w:cs="Arial"/>
          <w:color w:val="365F91" w:themeColor="accent1" w:themeShade="BF"/>
        </w:rPr>
      </w:pPr>
    </w:p>
    <w:tbl>
      <w:tblPr>
        <w:tblStyle w:val="TableGrid"/>
        <w:tblW w:w="0" w:type="auto"/>
        <w:tblLook w:val="04A0" w:firstRow="1" w:lastRow="0" w:firstColumn="1" w:lastColumn="0" w:noHBand="0" w:noVBand="1"/>
      </w:tblPr>
      <w:tblGrid>
        <w:gridCol w:w="1007"/>
        <w:gridCol w:w="3529"/>
        <w:gridCol w:w="2382"/>
        <w:gridCol w:w="1913"/>
      </w:tblGrid>
      <w:tr w:rsidR="00AB3AC2" w:rsidRPr="00AB3AC2" w14:paraId="72DF6E2F" w14:textId="54E8EAE3" w:rsidTr="009A7591">
        <w:tc>
          <w:tcPr>
            <w:tcW w:w="1007" w:type="dxa"/>
            <w:tcBorders>
              <w:top w:val="single" w:sz="12" w:space="0" w:color="auto"/>
              <w:left w:val="nil"/>
              <w:bottom w:val="single" w:sz="12" w:space="0" w:color="auto"/>
              <w:right w:val="nil"/>
            </w:tcBorders>
          </w:tcPr>
          <w:p w14:paraId="3E3B0243" w14:textId="73150386" w:rsidR="00AB3AC2" w:rsidRPr="00AB3AC2" w:rsidRDefault="00AB3AC2" w:rsidP="00766DC7">
            <w:pPr>
              <w:rPr>
                <w:rFonts w:cs="Arial"/>
                <w:b/>
                <w:bCs/>
                <w:color w:val="000000" w:themeColor="text1"/>
              </w:rPr>
            </w:pPr>
            <w:r w:rsidRPr="00AB3AC2">
              <w:rPr>
                <w:rFonts w:cs="Arial"/>
                <w:b/>
                <w:color w:val="000000" w:themeColor="text1"/>
              </w:rPr>
              <w:t>Dates</w:t>
            </w:r>
          </w:p>
        </w:tc>
        <w:tc>
          <w:tcPr>
            <w:tcW w:w="3529" w:type="dxa"/>
            <w:tcBorders>
              <w:top w:val="single" w:sz="12" w:space="0" w:color="auto"/>
              <w:left w:val="nil"/>
              <w:bottom w:val="single" w:sz="12" w:space="0" w:color="auto"/>
              <w:right w:val="nil"/>
            </w:tcBorders>
          </w:tcPr>
          <w:p w14:paraId="78D28AD8" w14:textId="60C0A509" w:rsidR="00AB3AC2" w:rsidRPr="00AB3AC2" w:rsidRDefault="00AB3AC2" w:rsidP="00766DC7">
            <w:pPr>
              <w:rPr>
                <w:rFonts w:cs="Arial"/>
                <w:b/>
                <w:bCs/>
                <w:color w:val="000000" w:themeColor="text1"/>
              </w:rPr>
            </w:pPr>
            <w:r w:rsidRPr="00AB3AC2">
              <w:rPr>
                <w:rFonts w:cs="Arial"/>
                <w:b/>
                <w:color w:val="000000" w:themeColor="text1"/>
              </w:rPr>
              <w:t>Topic</w:t>
            </w:r>
          </w:p>
        </w:tc>
        <w:tc>
          <w:tcPr>
            <w:tcW w:w="2382" w:type="dxa"/>
            <w:tcBorders>
              <w:top w:val="single" w:sz="12" w:space="0" w:color="auto"/>
              <w:left w:val="nil"/>
              <w:bottom w:val="single" w:sz="12" w:space="0" w:color="auto"/>
              <w:right w:val="nil"/>
            </w:tcBorders>
          </w:tcPr>
          <w:p w14:paraId="7955FD32" w14:textId="27A6641A" w:rsidR="00AB3AC2" w:rsidRPr="00AB3AC2" w:rsidRDefault="00AB3AC2" w:rsidP="00766DC7">
            <w:pPr>
              <w:rPr>
                <w:rFonts w:cs="Arial"/>
                <w:b/>
                <w:bCs/>
                <w:color w:val="000000" w:themeColor="text1"/>
              </w:rPr>
            </w:pPr>
            <w:r w:rsidRPr="00AB3AC2">
              <w:rPr>
                <w:rFonts w:cs="Arial"/>
                <w:b/>
                <w:color w:val="000000" w:themeColor="text1"/>
              </w:rPr>
              <w:t>Assessment Details</w:t>
            </w:r>
          </w:p>
        </w:tc>
        <w:tc>
          <w:tcPr>
            <w:tcW w:w="1913" w:type="dxa"/>
            <w:tcBorders>
              <w:top w:val="single" w:sz="12" w:space="0" w:color="auto"/>
              <w:left w:val="nil"/>
              <w:bottom w:val="single" w:sz="12" w:space="0" w:color="auto"/>
              <w:right w:val="nil"/>
            </w:tcBorders>
          </w:tcPr>
          <w:p w14:paraId="0687E7A7" w14:textId="0B649D63" w:rsidR="00AB3AC2" w:rsidRPr="00AB3AC2" w:rsidRDefault="00AB3AC2" w:rsidP="00766DC7">
            <w:pPr>
              <w:rPr>
                <w:rFonts w:cs="Arial"/>
                <w:b/>
                <w:bCs/>
                <w:color w:val="000000" w:themeColor="text1"/>
              </w:rPr>
            </w:pPr>
            <w:r w:rsidRPr="00AB3AC2">
              <w:rPr>
                <w:rFonts w:cs="Arial"/>
                <w:b/>
                <w:color w:val="000000" w:themeColor="text1"/>
              </w:rPr>
              <w:t>Comment</w:t>
            </w:r>
          </w:p>
        </w:tc>
      </w:tr>
      <w:tr w:rsidR="00AB3AC2" w:rsidRPr="00AB3AC2" w14:paraId="7A7E19D0" w14:textId="699240FE" w:rsidTr="00D016F3">
        <w:tc>
          <w:tcPr>
            <w:tcW w:w="1007" w:type="dxa"/>
            <w:tcBorders>
              <w:top w:val="single" w:sz="12" w:space="0" w:color="auto"/>
              <w:left w:val="nil"/>
              <w:bottom w:val="single" w:sz="2" w:space="0" w:color="auto"/>
              <w:right w:val="nil"/>
            </w:tcBorders>
            <w:vAlign w:val="center"/>
          </w:tcPr>
          <w:p w14:paraId="1EBC7F8C" w14:textId="77958BE2" w:rsidR="00AB3AC2" w:rsidRPr="00AB3AC2" w:rsidRDefault="009E73F4" w:rsidP="00BA2C1E">
            <w:pPr>
              <w:rPr>
                <w:rFonts w:cs="Arial"/>
                <w:color w:val="000000" w:themeColor="text1"/>
              </w:rPr>
            </w:pPr>
            <w:r>
              <w:rPr>
                <w:rFonts w:cs="Arial"/>
                <w:color w:val="000000" w:themeColor="text1"/>
              </w:rPr>
              <w:t>Jan 29</w:t>
            </w:r>
          </w:p>
        </w:tc>
        <w:tc>
          <w:tcPr>
            <w:tcW w:w="3529" w:type="dxa"/>
            <w:tcBorders>
              <w:top w:val="single" w:sz="12" w:space="0" w:color="auto"/>
              <w:left w:val="nil"/>
              <w:bottom w:val="single" w:sz="2" w:space="0" w:color="auto"/>
              <w:right w:val="nil"/>
            </w:tcBorders>
            <w:vAlign w:val="center"/>
          </w:tcPr>
          <w:p w14:paraId="4075E68B" w14:textId="489B1206" w:rsidR="00AB3AC2" w:rsidRPr="00AB3AC2" w:rsidRDefault="00556C49" w:rsidP="00BA2C1E">
            <w:pPr>
              <w:rPr>
                <w:rFonts w:cs="Arial"/>
                <w:color w:val="000000" w:themeColor="text1"/>
              </w:rPr>
            </w:pPr>
            <w:r>
              <w:rPr>
                <w:rFonts w:cs="Arial"/>
                <w:color w:val="000000" w:themeColor="text1"/>
              </w:rPr>
              <w:t>Learning C</w:t>
            </w:r>
            <w:r w:rsidR="00AB3AC2" w:rsidRPr="00AB3AC2">
              <w:rPr>
                <w:rFonts w:cs="Arial"/>
                <w:color w:val="000000" w:themeColor="text1"/>
              </w:rPr>
              <w:t>ontract</w:t>
            </w:r>
          </w:p>
        </w:tc>
        <w:tc>
          <w:tcPr>
            <w:tcW w:w="2382" w:type="dxa"/>
            <w:tcBorders>
              <w:top w:val="single" w:sz="12" w:space="0" w:color="auto"/>
              <w:left w:val="nil"/>
              <w:bottom w:val="single" w:sz="2" w:space="0" w:color="auto"/>
              <w:right w:val="nil"/>
            </w:tcBorders>
            <w:vAlign w:val="center"/>
          </w:tcPr>
          <w:p w14:paraId="349CB2A4" w14:textId="13DE4633" w:rsidR="00AB3AC2" w:rsidRPr="00AB3AC2" w:rsidRDefault="00AB3AC2" w:rsidP="00BA2C1E">
            <w:pPr>
              <w:rPr>
                <w:rFonts w:cs="Arial"/>
                <w:color w:val="000000" w:themeColor="text1"/>
              </w:rPr>
            </w:pPr>
            <w:r w:rsidRPr="00AB3AC2">
              <w:rPr>
                <w:rFonts w:cs="Arial"/>
                <w:color w:val="000000" w:themeColor="text1"/>
              </w:rPr>
              <w:t>2-3 pages</w:t>
            </w:r>
          </w:p>
        </w:tc>
        <w:tc>
          <w:tcPr>
            <w:tcW w:w="1913" w:type="dxa"/>
            <w:tcBorders>
              <w:top w:val="single" w:sz="12" w:space="0" w:color="auto"/>
              <w:left w:val="nil"/>
              <w:bottom w:val="single" w:sz="2" w:space="0" w:color="auto"/>
              <w:right w:val="nil"/>
            </w:tcBorders>
          </w:tcPr>
          <w:p w14:paraId="2AD4428A" w14:textId="7B01AC92" w:rsidR="00AB3AC2" w:rsidRPr="00AB3AC2" w:rsidRDefault="00AB3AC2" w:rsidP="00BA2C1E">
            <w:pPr>
              <w:rPr>
                <w:rFonts w:cs="Arial"/>
                <w:color w:val="000000" w:themeColor="text1"/>
              </w:rPr>
            </w:pPr>
            <w:r w:rsidRPr="00AB3AC2">
              <w:rPr>
                <w:rFonts w:cs="Arial"/>
                <w:color w:val="000000" w:themeColor="text1"/>
              </w:rPr>
              <w:t xml:space="preserve">15% course grade </w:t>
            </w:r>
          </w:p>
        </w:tc>
      </w:tr>
      <w:tr w:rsidR="00AB3AC2" w:rsidRPr="00AB3AC2" w14:paraId="4C5DD787" w14:textId="77777777" w:rsidTr="00D016F3">
        <w:tc>
          <w:tcPr>
            <w:tcW w:w="1007" w:type="dxa"/>
            <w:tcBorders>
              <w:top w:val="single" w:sz="2" w:space="0" w:color="auto"/>
              <w:left w:val="nil"/>
              <w:bottom w:val="single" w:sz="2" w:space="0" w:color="auto"/>
              <w:right w:val="nil"/>
            </w:tcBorders>
            <w:vAlign w:val="center"/>
          </w:tcPr>
          <w:p w14:paraId="0DC0E4D5" w14:textId="4704D868" w:rsidR="00AB3AC2" w:rsidRPr="00AB3AC2" w:rsidRDefault="009E73F4" w:rsidP="00BA2C1E">
            <w:pPr>
              <w:rPr>
                <w:rFonts w:cs="Arial"/>
                <w:color w:val="000000" w:themeColor="text1"/>
              </w:rPr>
            </w:pPr>
            <w:r>
              <w:rPr>
                <w:rFonts w:cs="Arial"/>
                <w:color w:val="000000" w:themeColor="text1"/>
              </w:rPr>
              <w:t>Feb 14</w:t>
            </w:r>
          </w:p>
        </w:tc>
        <w:tc>
          <w:tcPr>
            <w:tcW w:w="3529" w:type="dxa"/>
            <w:tcBorders>
              <w:top w:val="single" w:sz="2" w:space="0" w:color="auto"/>
              <w:left w:val="nil"/>
              <w:bottom w:val="single" w:sz="2" w:space="0" w:color="auto"/>
              <w:right w:val="nil"/>
            </w:tcBorders>
            <w:vAlign w:val="center"/>
          </w:tcPr>
          <w:p w14:paraId="3C1773E7" w14:textId="78A8C157" w:rsidR="00AB3AC2" w:rsidRPr="00AB3AC2" w:rsidRDefault="00AB3AC2" w:rsidP="00BA2C1E">
            <w:pPr>
              <w:rPr>
                <w:rFonts w:cs="Arial"/>
                <w:color w:val="000000" w:themeColor="text1"/>
              </w:rPr>
            </w:pPr>
            <w:r w:rsidRPr="00AB3AC2">
              <w:rPr>
                <w:rFonts w:cs="Arial"/>
                <w:color w:val="000000" w:themeColor="text1"/>
              </w:rPr>
              <w:t>Learning Outcomes</w:t>
            </w:r>
          </w:p>
        </w:tc>
        <w:tc>
          <w:tcPr>
            <w:tcW w:w="2382" w:type="dxa"/>
            <w:tcBorders>
              <w:top w:val="single" w:sz="2" w:space="0" w:color="auto"/>
              <w:left w:val="nil"/>
              <w:bottom w:val="single" w:sz="2" w:space="0" w:color="auto"/>
              <w:right w:val="nil"/>
            </w:tcBorders>
            <w:vAlign w:val="center"/>
          </w:tcPr>
          <w:p w14:paraId="5448344B" w14:textId="5137CA6C" w:rsidR="00AB3AC2" w:rsidRPr="00AB3AC2" w:rsidRDefault="00AB3AC2" w:rsidP="00BA2C1E">
            <w:pPr>
              <w:rPr>
                <w:rFonts w:cs="Arial"/>
                <w:color w:val="000000" w:themeColor="text1"/>
              </w:rPr>
            </w:pPr>
            <w:r w:rsidRPr="00AB3AC2">
              <w:rPr>
                <w:rFonts w:cs="Arial"/>
                <w:color w:val="000000" w:themeColor="text1"/>
              </w:rPr>
              <w:t>4-6 outcomes</w:t>
            </w:r>
          </w:p>
        </w:tc>
        <w:tc>
          <w:tcPr>
            <w:tcW w:w="1913" w:type="dxa"/>
            <w:tcBorders>
              <w:top w:val="single" w:sz="2" w:space="0" w:color="auto"/>
              <w:left w:val="nil"/>
              <w:bottom w:val="single" w:sz="2" w:space="0" w:color="auto"/>
              <w:right w:val="nil"/>
            </w:tcBorders>
          </w:tcPr>
          <w:p w14:paraId="710AF4CA" w14:textId="39A1D714" w:rsidR="00AB3AC2" w:rsidRPr="00AB3AC2" w:rsidRDefault="00AB3AC2" w:rsidP="00BA2C1E">
            <w:pPr>
              <w:rPr>
                <w:rFonts w:cs="Arial"/>
                <w:color w:val="000000" w:themeColor="text1"/>
              </w:rPr>
            </w:pPr>
            <w:r w:rsidRPr="00AB3AC2">
              <w:rPr>
                <w:rFonts w:cs="Arial"/>
                <w:color w:val="000000" w:themeColor="text1"/>
              </w:rPr>
              <w:t>10% of course grade</w:t>
            </w:r>
          </w:p>
        </w:tc>
      </w:tr>
      <w:tr w:rsidR="00AB3AC2" w:rsidRPr="00AB3AC2" w14:paraId="502AA907" w14:textId="324DD845" w:rsidTr="00D016F3">
        <w:tc>
          <w:tcPr>
            <w:tcW w:w="1007" w:type="dxa"/>
            <w:tcBorders>
              <w:top w:val="single" w:sz="2" w:space="0" w:color="auto"/>
              <w:left w:val="nil"/>
              <w:bottom w:val="single" w:sz="2" w:space="0" w:color="auto"/>
              <w:right w:val="nil"/>
            </w:tcBorders>
            <w:vAlign w:val="center"/>
          </w:tcPr>
          <w:p w14:paraId="72C12B89" w14:textId="0E776837" w:rsidR="00AB3AC2" w:rsidRPr="00AB3AC2" w:rsidRDefault="009E73F4" w:rsidP="00BA2C1E">
            <w:pPr>
              <w:rPr>
                <w:rFonts w:cs="Arial"/>
                <w:color w:val="000000" w:themeColor="text1"/>
              </w:rPr>
            </w:pPr>
            <w:r>
              <w:rPr>
                <w:rFonts w:cs="Arial"/>
                <w:color w:val="000000" w:themeColor="text1"/>
              </w:rPr>
              <w:t>Feb 28</w:t>
            </w:r>
          </w:p>
        </w:tc>
        <w:tc>
          <w:tcPr>
            <w:tcW w:w="3529" w:type="dxa"/>
            <w:tcBorders>
              <w:top w:val="single" w:sz="2" w:space="0" w:color="auto"/>
              <w:left w:val="nil"/>
              <w:bottom w:val="single" w:sz="2" w:space="0" w:color="auto"/>
              <w:right w:val="nil"/>
            </w:tcBorders>
            <w:vAlign w:val="center"/>
          </w:tcPr>
          <w:p w14:paraId="77B00EEB" w14:textId="5EAB7DDB" w:rsidR="00AB3AC2" w:rsidRPr="00AB3AC2" w:rsidRDefault="00AB3AC2" w:rsidP="00BA2C1E">
            <w:pPr>
              <w:rPr>
                <w:rFonts w:cs="Arial"/>
                <w:color w:val="000000" w:themeColor="text1"/>
              </w:rPr>
            </w:pPr>
            <w:r w:rsidRPr="00AB3AC2">
              <w:rPr>
                <w:rFonts w:cs="Arial"/>
                <w:color w:val="000000" w:themeColor="text1"/>
              </w:rPr>
              <w:t>Progress update #1</w:t>
            </w:r>
          </w:p>
        </w:tc>
        <w:tc>
          <w:tcPr>
            <w:tcW w:w="2382" w:type="dxa"/>
            <w:tcBorders>
              <w:top w:val="single" w:sz="2" w:space="0" w:color="auto"/>
              <w:left w:val="nil"/>
              <w:bottom w:val="single" w:sz="2" w:space="0" w:color="auto"/>
              <w:right w:val="nil"/>
            </w:tcBorders>
            <w:vAlign w:val="center"/>
          </w:tcPr>
          <w:p w14:paraId="066AF44C" w14:textId="28A965BC" w:rsidR="00AB3AC2" w:rsidRPr="00AB3AC2" w:rsidRDefault="00D016F3" w:rsidP="00BA2C1E">
            <w:pPr>
              <w:rPr>
                <w:rFonts w:cs="Arial"/>
                <w:color w:val="000000" w:themeColor="text1"/>
              </w:rPr>
            </w:pPr>
            <w:r>
              <w:rPr>
                <w:rFonts w:cs="Arial"/>
                <w:color w:val="000000" w:themeColor="text1"/>
              </w:rPr>
              <w:t>Weekly summary of learning</w:t>
            </w:r>
          </w:p>
        </w:tc>
        <w:tc>
          <w:tcPr>
            <w:tcW w:w="1913" w:type="dxa"/>
            <w:tcBorders>
              <w:top w:val="single" w:sz="2" w:space="0" w:color="auto"/>
              <w:left w:val="nil"/>
              <w:bottom w:val="single" w:sz="2" w:space="0" w:color="auto"/>
              <w:right w:val="nil"/>
            </w:tcBorders>
          </w:tcPr>
          <w:p w14:paraId="6F6E9DAA" w14:textId="399853B8" w:rsidR="00AB3AC2" w:rsidRPr="00AB3AC2" w:rsidRDefault="00D016F3" w:rsidP="00BA2C1E">
            <w:pPr>
              <w:rPr>
                <w:rFonts w:cs="Arial"/>
                <w:color w:val="000000" w:themeColor="text1"/>
              </w:rPr>
            </w:pPr>
            <w:r w:rsidRPr="00AB3AC2">
              <w:rPr>
                <w:rFonts w:cs="Arial"/>
                <w:color w:val="000000" w:themeColor="text1"/>
              </w:rPr>
              <w:t>10% of course grade</w:t>
            </w:r>
          </w:p>
        </w:tc>
      </w:tr>
      <w:tr w:rsidR="00AB3AC2" w:rsidRPr="00AB3AC2" w14:paraId="13E6482C" w14:textId="1FCCC9B8" w:rsidTr="00D016F3">
        <w:tc>
          <w:tcPr>
            <w:tcW w:w="1007" w:type="dxa"/>
            <w:tcBorders>
              <w:top w:val="single" w:sz="2" w:space="0" w:color="auto"/>
              <w:left w:val="nil"/>
              <w:bottom w:val="single" w:sz="2" w:space="0" w:color="auto"/>
              <w:right w:val="nil"/>
            </w:tcBorders>
            <w:vAlign w:val="center"/>
          </w:tcPr>
          <w:p w14:paraId="06A0FF80" w14:textId="03FBB96B" w:rsidR="00AB3AC2" w:rsidRPr="00AB3AC2" w:rsidRDefault="009E73F4" w:rsidP="00BA2C1E">
            <w:pPr>
              <w:rPr>
                <w:rFonts w:cs="Arial"/>
                <w:color w:val="000000" w:themeColor="text1"/>
              </w:rPr>
            </w:pPr>
            <w:r>
              <w:rPr>
                <w:rFonts w:cs="Arial"/>
                <w:color w:val="000000" w:themeColor="text1"/>
              </w:rPr>
              <w:t>Mar 26</w:t>
            </w:r>
          </w:p>
        </w:tc>
        <w:tc>
          <w:tcPr>
            <w:tcW w:w="3529" w:type="dxa"/>
            <w:tcBorders>
              <w:top w:val="single" w:sz="2" w:space="0" w:color="auto"/>
              <w:left w:val="nil"/>
              <w:bottom w:val="single" w:sz="2" w:space="0" w:color="auto"/>
              <w:right w:val="nil"/>
            </w:tcBorders>
            <w:vAlign w:val="center"/>
          </w:tcPr>
          <w:p w14:paraId="69769229" w14:textId="703B793E" w:rsidR="00AB3AC2" w:rsidRPr="00AB3AC2" w:rsidRDefault="00AB3AC2" w:rsidP="00BA2C1E">
            <w:pPr>
              <w:rPr>
                <w:rFonts w:cs="Arial"/>
                <w:color w:val="000000" w:themeColor="text1"/>
              </w:rPr>
            </w:pPr>
            <w:r w:rsidRPr="00AB3AC2">
              <w:rPr>
                <w:rFonts w:cs="Arial"/>
                <w:color w:val="000000" w:themeColor="text1"/>
              </w:rPr>
              <w:t>Progress update #2</w:t>
            </w:r>
          </w:p>
        </w:tc>
        <w:tc>
          <w:tcPr>
            <w:tcW w:w="2382" w:type="dxa"/>
            <w:tcBorders>
              <w:top w:val="single" w:sz="2" w:space="0" w:color="auto"/>
              <w:left w:val="nil"/>
              <w:bottom w:val="single" w:sz="2" w:space="0" w:color="auto"/>
              <w:right w:val="nil"/>
            </w:tcBorders>
            <w:vAlign w:val="center"/>
          </w:tcPr>
          <w:p w14:paraId="0CFE53EC" w14:textId="7DF68938" w:rsidR="00AB3AC2" w:rsidRPr="00AB3AC2" w:rsidRDefault="00D016F3" w:rsidP="00BA2C1E">
            <w:pPr>
              <w:rPr>
                <w:rFonts w:cs="Arial"/>
                <w:color w:val="000000" w:themeColor="text1"/>
              </w:rPr>
            </w:pPr>
            <w:r>
              <w:rPr>
                <w:rFonts w:cs="Arial"/>
                <w:color w:val="000000" w:themeColor="text1"/>
              </w:rPr>
              <w:t>Weekly summary of learning</w:t>
            </w:r>
          </w:p>
        </w:tc>
        <w:tc>
          <w:tcPr>
            <w:tcW w:w="1913" w:type="dxa"/>
            <w:tcBorders>
              <w:top w:val="single" w:sz="2" w:space="0" w:color="auto"/>
              <w:left w:val="nil"/>
              <w:bottom w:val="single" w:sz="2" w:space="0" w:color="auto"/>
              <w:right w:val="nil"/>
            </w:tcBorders>
          </w:tcPr>
          <w:p w14:paraId="0E63664C" w14:textId="23D086CC" w:rsidR="00AB3AC2" w:rsidRPr="00AB3AC2" w:rsidRDefault="00D016F3" w:rsidP="00BA2C1E">
            <w:pPr>
              <w:rPr>
                <w:rFonts w:cs="Arial"/>
                <w:color w:val="000000" w:themeColor="text1"/>
              </w:rPr>
            </w:pPr>
            <w:r w:rsidRPr="00AB3AC2">
              <w:rPr>
                <w:rFonts w:cs="Arial"/>
                <w:color w:val="000000" w:themeColor="text1"/>
              </w:rPr>
              <w:t>10% of course grade</w:t>
            </w:r>
          </w:p>
        </w:tc>
      </w:tr>
      <w:tr w:rsidR="00AB3AC2" w:rsidRPr="00AB3AC2" w14:paraId="4F4C466B" w14:textId="40DC8D33" w:rsidTr="00D016F3">
        <w:tc>
          <w:tcPr>
            <w:tcW w:w="1007" w:type="dxa"/>
            <w:tcBorders>
              <w:top w:val="single" w:sz="2" w:space="0" w:color="auto"/>
              <w:left w:val="nil"/>
              <w:bottom w:val="single" w:sz="2" w:space="0" w:color="auto"/>
              <w:right w:val="nil"/>
            </w:tcBorders>
            <w:vAlign w:val="center"/>
          </w:tcPr>
          <w:p w14:paraId="2BF6A7FC" w14:textId="731DE288" w:rsidR="00AB3AC2" w:rsidRPr="00AB3AC2" w:rsidRDefault="009E73F4" w:rsidP="00BA2C1E">
            <w:pPr>
              <w:rPr>
                <w:rFonts w:cs="Arial"/>
                <w:color w:val="000000" w:themeColor="text1"/>
              </w:rPr>
            </w:pPr>
            <w:r>
              <w:rPr>
                <w:rFonts w:cs="Arial"/>
                <w:color w:val="000000" w:themeColor="text1"/>
              </w:rPr>
              <w:t>April 15</w:t>
            </w:r>
          </w:p>
        </w:tc>
        <w:tc>
          <w:tcPr>
            <w:tcW w:w="3529" w:type="dxa"/>
            <w:tcBorders>
              <w:top w:val="single" w:sz="2" w:space="0" w:color="auto"/>
              <w:left w:val="nil"/>
              <w:bottom w:val="single" w:sz="2" w:space="0" w:color="auto"/>
              <w:right w:val="nil"/>
            </w:tcBorders>
            <w:vAlign w:val="center"/>
          </w:tcPr>
          <w:p w14:paraId="30973FD8" w14:textId="41B4F1AC" w:rsidR="00AB3AC2" w:rsidRPr="00AB3AC2" w:rsidRDefault="00AB3AC2" w:rsidP="00BA2C1E">
            <w:pPr>
              <w:rPr>
                <w:rFonts w:cs="Arial"/>
                <w:color w:val="000000" w:themeColor="text1"/>
              </w:rPr>
            </w:pPr>
            <w:r w:rsidRPr="00AB3AC2">
              <w:rPr>
                <w:rFonts w:cs="Arial"/>
                <w:color w:val="000000" w:themeColor="text1"/>
              </w:rPr>
              <w:t>Progress update #3</w:t>
            </w:r>
          </w:p>
        </w:tc>
        <w:tc>
          <w:tcPr>
            <w:tcW w:w="2382" w:type="dxa"/>
            <w:tcBorders>
              <w:top w:val="single" w:sz="2" w:space="0" w:color="auto"/>
              <w:left w:val="nil"/>
              <w:bottom w:val="single" w:sz="2" w:space="0" w:color="auto"/>
              <w:right w:val="nil"/>
            </w:tcBorders>
            <w:vAlign w:val="center"/>
          </w:tcPr>
          <w:p w14:paraId="028F5213" w14:textId="14C44E13" w:rsidR="00AB3AC2" w:rsidRPr="00AB3AC2" w:rsidRDefault="00D016F3" w:rsidP="00BA2C1E">
            <w:pPr>
              <w:rPr>
                <w:rFonts w:cs="Arial"/>
                <w:color w:val="000000" w:themeColor="text1"/>
              </w:rPr>
            </w:pPr>
            <w:r>
              <w:rPr>
                <w:rFonts w:cs="Arial"/>
                <w:color w:val="000000" w:themeColor="text1"/>
              </w:rPr>
              <w:t>Weekly summary of learning</w:t>
            </w:r>
          </w:p>
        </w:tc>
        <w:tc>
          <w:tcPr>
            <w:tcW w:w="1913" w:type="dxa"/>
            <w:tcBorders>
              <w:top w:val="single" w:sz="2" w:space="0" w:color="auto"/>
              <w:left w:val="nil"/>
              <w:bottom w:val="single" w:sz="2" w:space="0" w:color="auto"/>
              <w:right w:val="nil"/>
            </w:tcBorders>
          </w:tcPr>
          <w:p w14:paraId="6821A77B" w14:textId="11D0087E" w:rsidR="00AB3AC2" w:rsidRPr="00AB3AC2" w:rsidRDefault="00D016F3" w:rsidP="00BA2C1E">
            <w:pPr>
              <w:rPr>
                <w:rFonts w:cs="Arial"/>
                <w:color w:val="000000" w:themeColor="text1"/>
              </w:rPr>
            </w:pPr>
            <w:r w:rsidRPr="00AB3AC2">
              <w:rPr>
                <w:rFonts w:cs="Arial"/>
                <w:color w:val="000000" w:themeColor="text1"/>
              </w:rPr>
              <w:t>10% of course grade</w:t>
            </w:r>
          </w:p>
        </w:tc>
      </w:tr>
      <w:tr w:rsidR="00AB3AC2" w:rsidRPr="00AB3AC2" w14:paraId="2779AD1A" w14:textId="055ED587" w:rsidTr="00D016F3">
        <w:tc>
          <w:tcPr>
            <w:tcW w:w="1007" w:type="dxa"/>
            <w:tcBorders>
              <w:top w:val="single" w:sz="2" w:space="0" w:color="auto"/>
              <w:left w:val="nil"/>
              <w:bottom w:val="single" w:sz="2" w:space="0" w:color="auto"/>
              <w:right w:val="nil"/>
            </w:tcBorders>
            <w:vAlign w:val="center"/>
          </w:tcPr>
          <w:p w14:paraId="0B52F854" w14:textId="17DD2DF1" w:rsidR="00AB3AC2" w:rsidRPr="00AB3AC2" w:rsidRDefault="009E73F4" w:rsidP="00BA2C1E">
            <w:pPr>
              <w:rPr>
                <w:rFonts w:cs="Arial"/>
                <w:color w:val="000000" w:themeColor="text1"/>
              </w:rPr>
            </w:pPr>
            <w:r>
              <w:rPr>
                <w:rFonts w:cs="Arial"/>
                <w:color w:val="000000" w:themeColor="text1"/>
              </w:rPr>
              <w:t>April 30</w:t>
            </w:r>
          </w:p>
        </w:tc>
        <w:tc>
          <w:tcPr>
            <w:tcW w:w="3529" w:type="dxa"/>
            <w:tcBorders>
              <w:top w:val="single" w:sz="2" w:space="0" w:color="auto"/>
              <w:left w:val="nil"/>
              <w:bottom w:val="single" w:sz="2" w:space="0" w:color="auto"/>
              <w:right w:val="nil"/>
            </w:tcBorders>
            <w:vAlign w:val="center"/>
          </w:tcPr>
          <w:p w14:paraId="090D709B" w14:textId="2857E943" w:rsidR="00AB3AC2" w:rsidRPr="00AB3AC2" w:rsidRDefault="00AB3AC2" w:rsidP="00BA2C1E">
            <w:pPr>
              <w:rPr>
                <w:rFonts w:cs="Arial"/>
                <w:color w:val="000000" w:themeColor="text1"/>
              </w:rPr>
            </w:pPr>
            <w:r w:rsidRPr="00AB3AC2">
              <w:rPr>
                <w:rFonts w:cs="Arial"/>
                <w:color w:val="000000" w:themeColor="text1"/>
              </w:rPr>
              <w:t>Presentation</w:t>
            </w:r>
          </w:p>
        </w:tc>
        <w:tc>
          <w:tcPr>
            <w:tcW w:w="2382" w:type="dxa"/>
            <w:tcBorders>
              <w:top w:val="single" w:sz="2" w:space="0" w:color="auto"/>
              <w:left w:val="nil"/>
              <w:bottom w:val="single" w:sz="2" w:space="0" w:color="auto"/>
              <w:right w:val="nil"/>
            </w:tcBorders>
            <w:vAlign w:val="center"/>
          </w:tcPr>
          <w:p w14:paraId="64D3ABFB" w14:textId="75658E09" w:rsidR="00AB3AC2" w:rsidRPr="00AB3AC2" w:rsidRDefault="009A7591" w:rsidP="00BA2C1E">
            <w:pPr>
              <w:rPr>
                <w:rFonts w:cs="Arial"/>
                <w:color w:val="000000" w:themeColor="text1"/>
              </w:rPr>
            </w:pPr>
            <w:r>
              <w:rPr>
                <w:rFonts w:cs="Arial"/>
                <w:color w:val="000000" w:themeColor="text1"/>
              </w:rPr>
              <w:t>30 min presentation</w:t>
            </w:r>
          </w:p>
        </w:tc>
        <w:tc>
          <w:tcPr>
            <w:tcW w:w="1913" w:type="dxa"/>
            <w:tcBorders>
              <w:top w:val="single" w:sz="2" w:space="0" w:color="auto"/>
              <w:left w:val="nil"/>
              <w:bottom w:val="single" w:sz="2" w:space="0" w:color="auto"/>
              <w:right w:val="nil"/>
            </w:tcBorders>
          </w:tcPr>
          <w:p w14:paraId="22325A16" w14:textId="5966E068" w:rsidR="00AB3AC2" w:rsidRPr="00AB3AC2" w:rsidRDefault="009A7591" w:rsidP="00BA2C1E">
            <w:pPr>
              <w:rPr>
                <w:rFonts w:cs="Arial"/>
                <w:color w:val="000000" w:themeColor="text1"/>
              </w:rPr>
            </w:pPr>
            <w:r>
              <w:rPr>
                <w:rFonts w:cs="Arial"/>
                <w:color w:val="000000" w:themeColor="text1"/>
              </w:rPr>
              <w:t>30% of course grade</w:t>
            </w:r>
          </w:p>
        </w:tc>
      </w:tr>
      <w:tr w:rsidR="00AB3AC2" w:rsidRPr="00AB3AC2" w14:paraId="517472BF" w14:textId="66EFDDC9" w:rsidTr="00D016F3">
        <w:tc>
          <w:tcPr>
            <w:tcW w:w="1007" w:type="dxa"/>
            <w:tcBorders>
              <w:top w:val="single" w:sz="2" w:space="0" w:color="auto"/>
              <w:left w:val="nil"/>
              <w:bottom w:val="single" w:sz="2" w:space="0" w:color="auto"/>
              <w:right w:val="nil"/>
            </w:tcBorders>
            <w:vAlign w:val="center"/>
          </w:tcPr>
          <w:p w14:paraId="7819E5D8" w14:textId="2A368504" w:rsidR="00AB3AC2" w:rsidRPr="00AB3AC2" w:rsidRDefault="009E73F4" w:rsidP="00BA2C1E">
            <w:pPr>
              <w:rPr>
                <w:rFonts w:cs="Arial"/>
                <w:color w:val="000000" w:themeColor="text1"/>
              </w:rPr>
            </w:pPr>
            <w:r>
              <w:rPr>
                <w:rFonts w:cs="Arial"/>
                <w:color w:val="000000" w:themeColor="text1"/>
              </w:rPr>
              <w:t>May 7</w:t>
            </w:r>
          </w:p>
        </w:tc>
        <w:tc>
          <w:tcPr>
            <w:tcW w:w="3529" w:type="dxa"/>
            <w:tcBorders>
              <w:top w:val="single" w:sz="2" w:space="0" w:color="auto"/>
              <w:left w:val="nil"/>
              <w:bottom w:val="single" w:sz="2" w:space="0" w:color="auto"/>
              <w:right w:val="nil"/>
            </w:tcBorders>
            <w:vAlign w:val="center"/>
          </w:tcPr>
          <w:p w14:paraId="14938363" w14:textId="1854D1F5" w:rsidR="00AB3AC2" w:rsidRPr="00AB3AC2" w:rsidRDefault="00D016F3" w:rsidP="00BA2C1E">
            <w:pPr>
              <w:rPr>
                <w:rFonts w:cs="Arial"/>
                <w:color w:val="000000" w:themeColor="text1"/>
              </w:rPr>
            </w:pPr>
            <w:r>
              <w:rPr>
                <w:rFonts w:cs="Arial"/>
                <w:color w:val="000000" w:themeColor="text1"/>
              </w:rPr>
              <w:t>Artifacts of learning</w:t>
            </w:r>
          </w:p>
        </w:tc>
        <w:tc>
          <w:tcPr>
            <w:tcW w:w="2382" w:type="dxa"/>
            <w:tcBorders>
              <w:top w:val="single" w:sz="2" w:space="0" w:color="auto"/>
              <w:left w:val="nil"/>
              <w:bottom w:val="single" w:sz="2" w:space="0" w:color="auto"/>
              <w:right w:val="nil"/>
            </w:tcBorders>
            <w:vAlign w:val="center"/>
          </w:tcPr>
          <w:p w14:paraId="56FD60B9" w14:textId="0B9F1D7E" w:rsidR="00AB3AC2" w:rsidRPr="00AB3AC2" w:rsidRDefault="009A7591" w:rsidP="00BA2C1E">
            <w:pPr>
              <w:rPr>
                <w:rFonts w:cs="Arial"/>
                <w:color w:val="000000" w:themeColor="text1"/>
              </w:rPr>
            </w:pPr>
            <w:r>
              <w:rPr>
                <w:rFonts w:cs="Arial"/>
                <w:color w:val="000000" w:themeColor="text1"/>
              </w:rPr>
              <w:t>Evidence of completing contract</w:t>
            </w:r>
          </w:p>
        </w:tc>
        <w:tc>
          <w:tcPr>
            <w:tcW w:w="1913" w:type="dxa"/>
            <w:tcBorders>
              <w:top w:val="single" w:sz="2" w:space="0" w:color="auto"/>
              <w:left w:val="nil"/>
              <w:bottom w:val="single" w:sz="2" w:space="0" w:color="auto"/>
              <w:right w:val="nil"/>
            </w:tcBorders>
          </w:tcPr>
          <w:p w14:paraId="1B1C67ED" w14:textId="5D3E16D2" w:rsidR="00AB3AC2" w:rsidRPr="00AB3AC2" w:rsidRDefault="009A7591" w:rsidP="00BA2C1E">
            <w:pPr>
              <w:rPr>
                <w:rFonts w:cs="Arial"/>
                <w:color w:val="000000" w:themeColor="text1"/>
              </w:rPr>
            </w:pPr>
            <w:r>
              <w:rPr>
                <w:rFonts w:cs="Arial"/>
                <w:color w:val="000000" w:themeColor="text1"/>
              </w:rPr>
              <w:t>15% of course grade</w:t>
            </w:r>
          </w:p>
        </w:tc>
      </w:tr>
    </w:tbl>
    <w:p w14:paraId="477240EA" w14:textId="1160E479" w:rsidR="004E77C9" w:rsidRPr="004E77C9" w:rsidRDefault="004E77C9" w:rsidP="004E77C9">
      <w:pPr>
        <w:pStyle w:val="Heading2"/>
        <w:rPr>
          <w:b w:val="0"/>
          <w:bCs/>
          <w:sz w:val="22"/>
          <w:szCs w:val="22"/>
        </w:rPr>
      </w:pPr>
      <w:r>
        <w:rPr>
          <w:b w:val="0"/>
          <w:bCs/>
          <w:sz w:val="22"/>
          <w:szCs w:val="22"/>
        </w:rPr>
        <w:t>Please see the</w:t>
      </w:r>
      <w:r w:rsidR="005018B2">
        <w:rPr>
          <w:b w:val="0"/>
          <w:bCs/>
          <w:sz w:val="22"/>
          <w:szCs w:val="22"/>
        </w:rPr>
        <w:t xml:space="preserve"> </w:t>
      </w:r>
      <w:r w:rsidR="009E73F4">
        <w:rPr>
          <w:b w:val="0"/>
          <w:bCs/>
          <w:sz w:val="22"/>
          <w:szCs w:val="22"/>
        </w:rPr>
        <w:t>Spring</w:t>
      </w:r>
      <w:r w:rsidR="005018B2">
        <w:rPr>
          <w:b w:val="0"/>
          <w:bCs/>
          <w:sz w:val="22"/>
          <w:szCs w:val="22"/>
        </w:rPr>
        <w:t xml:space="preserve"> 202</w:t>
      </w:r>
      <w:r w:rsidR="009E73F4">
        <w:rPr>
          <w:b w:val="0"/>
          <w:bCs/>
          <w:sz w:val="22"/>
          <w:szCs w:val="22"/>
        </w:rPr>
        <w:t>3</w:t>
      </w:r>
      <w:r w:rsidR="005018B2">
        <w:rPr>
          <w:b w:val="0"/>
          <w:bCs/>
          <w:sz w:val="22"/>
          <w:szCs w:val="22"/>
        </w:rPr>
        <w:t xml:space="preserve"> academic calendar for important dates: </w:t>
      </w:r>
      <w:r w:rsidR="009E73F4">
        <w:rPr>
          <w:b w:val="0"/>
          <w:bCs/>
          <w:sz w:val="22"/>
          <w:szCs w:val="22"/>
        </w:rPr>
        <w:fldChar w:fldCharType="begin"/>
      </w:r>
      <w:r w:rsidR="009E73F4">
        <w:rPr>
          <w:b w:val="0"/>
          <w:bCs/>
          <w:sz w:val="22"/>
          <w:szCs w:val="22"/>
        </w:rPr>
        <w:instrText xml:space="preserve"> HYPERLINK "</w:instrText>
      </w:r>
      <w:r w:rsidR="009E73F4" w:rsidRPr="009E73F4">
        <w:rPr>
          <w:b w:val="0"/>
          <w:bCs/>
          <w:sz w:val="22"/>
          <w:szCs w:val="22"/>
        </w:rPr>
        <w:instrText>https://www.uta.edu/academics/academic-calendar/spring-2023</w:instrText>
      </w:r>
      <w:r w:rsidR="009E73F4">
        <w:rPr>
          <w:b w:val="0"/>
          <w:bCs/>
          <w:sz w:val="22"/>
          <w:szCs w:val="22"/>
        </w:rPr>
        <w:instrText xml:space="preserve">" </w:instrText>
      </w:r>
      <w:r w:rsidR="009E73F4">
        <w:rPr>
          <w:b w:val="0"/>
          <w:bCs/>
          <w:sz w:val="22"/>
          <w:szCs w:val="22"/>
        </w:rPr>
        <w:fldChar w:fldCharType="separate"/>
      </w:r>
      <w:r w:rsidR="009E73F4" w:rsidRPr="004203CA">
        <w:rPr>
          <w:rStyle w:val="Hyperlink"/>
          <w:b w:val="0"/>
          <w:bCs/>
          <w:sz w:val="22"/>
          <w:szCs w:val="22"/>
        </w:rPr>
        <w:t>https://www.uta.edu/academics/academic-calendar/spring-2023</w:t>
      </w:r>
      <w:r w:rsidR="009E73F4">
        <w:rPr>
          <w:b w:val="0"/>
          <w:bCs/>
          <w:sz w:val="22"/>
          <w:szCs w:val="22"/>
        </w:rPr>
        <w:fldChar w:fldCharType="end"/>
      </w:r>
      <w:r w:rsidR="009E73F4">
        <w:rPr>
          <w:b w:val="0"/>
          <w:bCs/>
          <w:sz w:val="22"/>
          <w:szCs w:val="22"/>
        </w:rPr>
        <w:t xml:space="preserve"> </w:t>
      </w:r>
    </w:p>
    <w:p w14:paraId="6BD1A1F5" w14:textId="665E3709" w:rsidR="004E77C9" w:rsidRPr="004E77C9" w:rsidRDefault="000D7CC4" w:rsidP="004E77C9">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lastRenderedPageBreak/>
        <w:t xml:space="preserve">visit the </w:t>
      </w:r>
      <w:hyperlink r:id="rId12">
        <w:r w:rsidRPr="50125F4E">
          <w:rPr>
            <w:rStyle w:val="Hyperlink"/>
          </w:rPr>
          <w:t>Institutional Information</w:t>
        </w:r>
      </w:hyperlink>
      <w:r>
        <w:t xml:space="preserve"> page</w:t>
      </w:r>
      <w:r w:rsidR="0040110B">
        <w:t xml:space="preserve"> (</w:t>
      </w:r>
      <w:hyperlink r:id="rId13">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4">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07459F1C" w:rsidR="193F42CF" w:rsidRDefault="193F42CF" w:rsidP="50125F4E">
      <w:pPr>
        <w:spacing w:line="259" w:lineRule="auto"/>
      </w:pPr>
      <w:r>
        <w:t xml:space="preserve">If you have any questions about the MSLA program, please contact </w:t>
      </w:r>
      <w:r w:rsidR="0095083D">
        <w:t xml:space="preserve">George Siemens, PhD at </w:t>
      </w:r>
      <w:hyperlink r:id="rId15" w:history="1">
        <w:r w:rsidR="0095083D" w:rsidRPr="004203CA">
          <w:rPr>
            <w:rStyle w:val="Hyperlink"/>
          </w:rPr>
          <w:t>gsiemens@uta.edu</w:t>
        </w:r>
      </w:hyperlink>
      <w:r w:rsidR="0095083D">
        <w:t>.</w:t>
      </w:r>
      <w:r>
        <w:t xml:space="preserve"> </w:t>
      </w:r>
    </w:p>
    <w:p w14:paraId="31267C5B" w14:textId="59A62F28" w:rsidR="0022106A" w:rsidRDefault="0005773E" w:rsidP="009326F0">
      <w:pPr>
        <w:pStyle w:val="Heading3"/>
      </w:pPr>
      <w:r>
        <w:t>Attendance</w:t>
      </w:r>
    </w:p>
    <w:p w14:paraId="1615C857" w14:textId="48B6B36D"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9F3E01">
        <w:rPr>
          <w:rFonts w:cs="Arial"/>
        </w:rPr>
        <w:t xml:space="preserve">Since the MS LA is fully online, attendance is less consequential than engagement. </w:t>
      </w:r>
      <w:r w:rsidRPr="50125F4E">
        <w:rPr>
          <w:rFonts w:cs="Arial"/>
        </w:rPr>
        <w:t xml:space="preserve">As the </w:t>
      </w:r>
      <w:r w:rsidR="009F3E01">
        <w:rPr>
          <w:rFonts w:cs="Arial"/>
        </w:rPr>
        <w:t>instructor of this course</w:t>
      </w:r>
      <w:r w:rsidRPr="50125F4E">
        <w:rPr>
          <w:rFonts w:cs="Arial"/>
        </w:rPr>
        <w:t>,</w:t>
      </w:r>
      <w:r w:rsidR="009F3E01">
        <w:rPr>
          <w:rFonts w:cs="Arial"/>
        </w:rPr>
        <w:t xml:space="preserve"> I will encourage you to log on daily and be active in readings and discussions</w:t>
      </w:r>
      <w:r w:rsidR="009C7291">
        <w:rPr>
          <w:rFonts w:cs="Arial"/>
        </w:rPr>
        <w:t>.</w:t>
      </w:r>
      <w:r w:rsidRPr="50125F4E">
        <w:rPr>
          <w:rFonts w:cs="Arial"/>
          <w:color w:val="000000" w:themeColor="text1"/>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r w:rsidRPr="50125F4E">
          <w:rPr>
            <w:rStyle w:val="Hyperlink"/>
          </w:rPr>
          <w:t>Academic Success Center</w:t>
        </w:r>
      </w:hyperlink>
      <w:r>
        <w:t xml:space="preserve">.  To request disability accommodations for tutoring, please complete this </w:t>
      </w:r>
      <w:hyperlink r:id="rId17">
        <w:r w:rsidRPr="50125F4E">
          <w:rPr>
            <w:rStyle w:val="Hyperlink"/>
          </w:rPr>
          <w:t>form</w:t>
        </w:r>
      </w:hyperlink>
      <w:r>
        <w:t>.</w:t>
      </w:r>
    </w:p>
    <w:p w14:paraId="60033DD2" w14:textId="3B3462F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18">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19">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63C61764" w14:textId="77777777" w:rsidR="0095083D" w:rsidRDefault="0095083D" w:rsidP="50125F4E">
      <w:pPr>
        <w:spacing w:after="240"/>
        <w:rPr>
          <w:rFonts w:cs="Arial"/>
        </w:rPr>
      </w:pPr>
    </w:p>
    <w:p w14:paraId="41A6E88E" w14:textId="03694699" w:rsidR="0095083D" w:rsidRDefault="46AF76B7" w:rsidP="50125F4E">
      <w:pPr>
        <w:spacing w:after="240" w:line="259" w:lineRule="auto"/>
        <w:rPr>
          <w:rFonts w:cs="Arial"/>
        </w:rPr>
      </w:pPr>
      <w:r w:rsidRPr="50125F4E">
        <w:rPr>
          <w:b/>
          <w:bCs/>
        </w:rPr>
        <w:lastRenderedPageBreak/>
        <w:t>Library Information</w:t>
      </w:r>
      <w:r w:rsidR="008B27F1">
        <w:br/>
      </w:r>
      <w:r w:rsidR="00766DC7" w:rsidRPr="50125F4E">
        <w:rPr>
          <w:rFonts w:cs="Arial"/>
        </w:rPr>
        <w:t xml:space="preserve">Each academic unit has access to </w:t>
      </w:r>
      <w:hyperlink r:id="rId20">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30B840EF" w14:textId="012E3386" w:rsidR="0095083D" w:rsidRDefault="0095083D" w:rsidP="004E1886">
      <w:pPr>
        <w:rPr>
          <w:rFonts w:cs="Arial"/>
          <w:b/>
          <w:bCs/>
        </w:rPr>
      </w:pPr>
      <w:r w:rsidRPr="0095083D">
        <w:rPr>
          <w:rFonts w:cs="Arial"/>
          <w:b/>
          <w:bCs/>
        </w:rPr>
        <w:t>University Exit and Emergency Procedures</w:t>
      </w:r>
    </w:p>
    <w:p w14:paraId="40D0E10C" w14:textId="0772DE1D" w:rsidR="0095083D" w:rsidRDefault="0095083D" w:rsidP="004E1886">
      <w:pPr>
        <w:rPr>
          <w:rFonts w:cs="Arial"/>
        </w:rPr>
      </w:pPr>
      <w:r>
        <w:rPr>
          <w:rFonts w:cs="Arial"/>
        </w:rPr>
        <w:t xml:space="preserve">UTA requires information regarding campus security. This is a fully online course and on-campus emergency procedures do not apply. However, if you physically visit the campus, information is available here: </w:t>
      </w:r>
      <w:hyperlink r:id="rId21" w:tooltip="Original URL:&#10;https://t.e2ma.net/click/wgxbwg/wgxzqr/ggadgo&#10;&#10;Click to follow link." w:history="1">
        <w:r w:rsidRPr="0095083D">
          <w:rPr>
            <w:rStyle w:val="Hyperlink"/>
            <w:rFonts w:cs="Arial"/>
            <w:i/>
            <w:iCs/>
          </w:rPr>
          <w:t>UT Arlington Procedure 7-6: Emergency/Fire Evacuation Procedures</w:t>
        </w:r>
      </w:hyperlink>
      <w:r w:rsidRPr="0095083D">
        <w:rPr>
          <w:rFonts w:cs="Arial"/>
          <w:i/>
          <w:iCs/>
        </w:rPr>
        <w:t>. Here is the map of exits for the campus: </w:t>
      </w:r>
      <w:hyperlink r:id="rId22" w:tooltip="Original URL:&#10;https://t.e2ma.net/click/wgxbwg/wgxzqr/w8adgo&#10;&#10;Click to follow link." w:history="1">
        <w:r w:rsidRPr="0095083D">
          <w:rPr>
            <w:rStyle w:val="Hyperlink"/>
            <w:rFonts w:cs="Arial"/>
            <w:i/>
            <w:iCs/>
          </w:rPr>
          <w:t>https://www.uta.edu/campus-ops/ehs/fire/Evac_Maps_Buildings.php</w:t>
        </w:r>
      </w:hyperlink>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3">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4">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5">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6">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630840AE" w14:textId="77777777" w:rsidR="00936E63" w:rsidRDefault="00936E63" w:rsidP="50125F4E">
      <w:pPr>
        <w:pStyle w:val="Normal1"/>
        <w:spacing w:before="0" w:beforeAutospacing="0" w:after="0" w:afterAutospacing="0"/>
        <w:rPr>
          <w:rFonts w:ascii="Arial" w:hAnsi="Arial" w:cs="Arial"/>
          <w:sz w:val="22"/>
          <w:szCs w:val="22"/>
        </w:rPr>
      </w:pPr>
    </w:p>
    <w:p w14:paraId="0311BEF9" w14:textId="2D48F5BE"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7">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28">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9">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30">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31">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2">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3"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4">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5"/>
      <w:footerReference w:type="default" r:id="rId3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A3B9" w14:textId="77777777" w:rsidR="002E1781" w:rsidRDefault="002E1781" w:rsidP="00141EC6">
      <w:r>
        <w:separator/>
      </w:r>
    </w:p>
  </w:endnote>
  <w:endnote w:type="continuationSeparator" w:id="0">
    <w:p w14:paraId="2C45E717" w14:textId="77777777" w:rsidR="002E1781" w:rsidRDefault="002E1781" w:rsidP="00141EC6">
      <w:r>
        <w:continuationSeparator/>
      </w:r>
    </w:p>
  </w:endnote>
  <w:endnote w:type="continuationNotice" w:id="1">
    <w:p w14:paraId="0F6DF09A" w14:textId="77777777" w:rsidR="002E1781" w:rsidRDefault="002E1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C14D" w14:textId="77777777" w:rsidR="002E1781" w:rsidRDefault="002E1781" w:rsidP="00141EC6">
      <w:r>
        <w:separator/>
      </w:r>
    </w:p>
  </w:footnote>
  <w:footnote w:type="continuationSeparator" w:id="0">
    <w:p w14:paraId="1CB6EA19" w14:textId="77777777" w:rsidR="002E1781" w:rsidRDefault="002E1781" w:rsidP="00141EC6">
      <w:r>
        <w:continuationSeparator/>
      </w:r>
    </w:p>
  </w:footnote>
  <w:footnote w:type="continuationNotice" w:id="1">
    <w:p w14:paraId="0DEB9DAD" w14:textId="77777777" w:rsidR="002E1781" w:rsidRDefault="002E1781"/>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4C02"/>
    <w:multiLevelType w:val="hybridMultilevel"/>
    <w:tmpl w:val="43F47B40"/>
    <w:lvl w:ilvl="0" w:tplc="72F0C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0E6267"/>
    <w:multiLevelType w:val="hybridMultilevel"/>
    <w:tmpl w:val="2ED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34F3C"/>
    <w:multiLevelType w:val="hybridMultilevel"/>
    <w:tmpl w:val="295E84D2"/>
    <w:lvl w:ilvl="0" w:tplc="85F699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420739">
    <w:abstractNumId w:val="11"/>
  </w:num>
  <w:num w:numId="2" w16cid:durableId="1552644389">
    <w:abstractNumId w:val="3"/>
  </w:num>
  <w:num w:numId="3" w16cid:durableId="154302112">
    <w:abstractNumId w:val="14"/>
  </w:num>
  <w:num w:numId="4" w16cid:durableId="787890081">
    <w:abstractNumId w:val="4"/>
  </w:num>
  <w:num w:numId="5" w16cid:durableId="141240091">
    <w:abstractNumId w:val="15"/>
  </w:num>
  <w:num w:numId="6" w16cid:durableId="1722288626">
    <w:abstractNumId w:val="0"/>
  </w:num>
  <w:num w:numId="7" w16cid:durableId="981427601">
    <w:abstractNumId w:val="12"/>
  </w:num>
  <w:num w:numId="8" w16cid:durableId="278992326">
    <w:abstractNumId w:val="18"/>
  </w:num>
  <w:num w:numId="9" w16cid:durableId="1982808989">
    <w:abstractNumId w:val="13"/>
  </w:num>
  <w:num w:numId="10" w16cid:durableId="891386312">
    <w:abstractNumId w:val="7"/>
  </w:num>
  <w:num w:numId="11" w16cid:durableId="870847510">
    <w:abstractNumId w:val="8"/>
  </w:num>
  <w:num w:numId="12" w16cid:durableId="777064313">
    <w:abstractNumId w:val="17"/>
  </w:num>
  <w:num w:numId="13" w16cid:durableId="262691857">
    <w:abstractNumId w:val="6"/>
  </w:num>
  <w:num w:numId="14" w16cid:durableId="2114594161">
    <w:abstractNumId w:val="1"/>
  </w:num>
  <w:num w:numId="15" w16cid:durableId="1766490046">
    <w:abstractNumId w:val="2"/>
  </w:num>
  <w:num w:numId="16" w16cid:durableId="1745953627">
    <w:abstractNumId w:val="5"/>
  </w:num>
  <w:num w:numId="17" w16cid:durableId="361327555">
    <w:abstractNumId w:val="10"/>
  </w:num>
  <w:num w:numId="18" w16cid:durableId="1834757657">
    <w:abstractNumId w:val="9"/>
  </w:num>
  <w:num w:numId="19" w16cid:durableId="12028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qgUAOs5OASwAAAA="/>
  </w:docVars>
  <w:rsids>
    <w:rsidRoot w:val="00141EC6"/>
    <w:rsid w:val="00001286"/>
    <w:rsid w:val="0000143B"/>
    <w:rsid w:val="00002145"/>
    <w:rsid w:val="0001142E"/>
    <w:rsid w:val="0001612B"/>
    <w:rsid w:val="000201EA"/>
    <w:rsid w:val="0002041E"/>
    <w:rsid w:val="00023EB8"/>
    <w:rsid w:val="00034AC2"/>
    <w:rsid w:val="00041132"/>
    <w:rsid w:val="000415A9"/>
    <w:rsid w:val="0005079F"/>
    <w:rsid w:val="00052625"/>
    <w:rsid w:val="0005773E"/>
    <w:rsid w:val="00057F10"/>
    <w:rsid w:val="000602C5"/>
    <w:rsid w:val="00060308"/>
    <w:rsid w:val="00062B1E"/>
    <w:rsid w:val="00063A29"/>
    <w:rsid w:val="00063B6D"/>
    <w:rsid w:val="00067BFC"/>
    <w:rsid w:val="00067C5A"/>
    <w:rsid w:val="000936E1"/>
    <w:rsid w:val="00094883"/>
    <w:rsid w:val="000966E6"/>
    <w:rsid w:val="0009766E"/>
    <w:rsid w:val="00097CAC"/>
    <w:rsid w:val="000A5417"/>
    <w:rsid w:val="000B4362"/>
    <w:rsid w:val="000B75A3"/>
    <w:rsid w:val="000C5862"/>
    <w:rsid w:val="000D0C1B"/>
    <w:rsid w:val="000D7CC4"/>
    <w:rsid w:val="000D7FA4"/>
    <w:rsid w:val="000E152D"/>
    <w:rsid w:val="000E2165"/>
    <w:rsid w:val="000E5644"/>
    <w:rsid w:val="000E5E04"/>
    <w:rsid w:val="000E7736"/>
    <w:rsid w:val="000F03EB"/>
    <w:rsid w:val="00107438"/>
    <w:rsid w:val="00110D3C"/>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60D21"/>
    <w:rsid w:val="001708F6"/>
    <w:rsid w:val="001736E6"/>
    <w:rsid w:val="001751C4"/>
    <w:rsid w:val="0018144B"/>
    <w:rsid w:val="0018256F"/>
    <w:rsid w:val="00191A69"/>
    <w:rsid w:val="00192093"/>
    <w:rsid w:val="001A62DA"/>
    <w:rsid w:val="001B2267"/>
    <w:rsid w:val="001B691F"/>
    <w:rsid w:val="001B6EFE"/>
    <w:rsid w:val="001C0017"/>
    <w:rsid w:val="001C3DC9"/>
    <w:rsid w:val="001C53D1"/>
    <w:rsid w:val="001C6441"/>
    <w:rsid w:val="001C6A0C"/>
    <w:rsid w:val="001C79D6"/>
    <w:rsid w:val="001D11A1"/>
    <w:rsid w:val="001E1E1B"/>
    <w:rsid w:val="001F64E9"/>
    <w:rsid w:val="00201826"/>
    <w:rsid w:val="0020685B"/>
    <w:rsid w:val="002070A8"/>
    <w:rsid w:val="0021766B"/>
    <w:rsid w:val="0022106A"/>
    <w:rsid w:val="00223F87"/>
    <w:rsid w:val="00225468"/>
    <w:rsid w:val="00226152"/>
    <w:rsid w:val="00226819"/>
    <w:rsid w:val="00227837"/>
    <w:rsid w:val="0023389B"/>
    <w:rsid w:val="00234EEC"/>
    <w:rsid w:val="00235E04"/>
    <w:rsid w:val="00241C6A"/>
    <w:rsid w:val="002425B7"/>
    <w:rsid w:val="00260741"/>
    <w:rsid w:val="0026516D"/>
    <w:rsid w:val="0026753C"/>
    <w:rsid w:val="00277015"/>
    <w:rsid w:val="00277C52"/>
    <w:rsid w:val="00282400"/>
    <w:rsid w:val="00282B29"/>
    <w:rsid w:val="0028415D"/>
    <w:rsid w:val="00285B8A"/>
    <w:rsid w:val="002A5E61"/>
    <w:rsid w:val="002B03FC"/>
    <w:rsid w:val="002C6260"/>
    <w:rsid w:val="002C64ED"/>
    <w:rsid w:val="002C6AEF"/>
    <w:rsid w:val="002D1E3E"/>
    <w:rsid w:val="002D3839"/>
    <w:rsid w:val="002E0164"/>
    <w:rsid w:val="002E1781"/>
    <w:rsid w:val="002E19CB"/>
    <w:rsid w:val="002F021C"/>
    <w:rsid w:val="002F510C"/>
    <w:rsid w:val="002F5F4D"/>
    <w:rsid w:val="003021CD"/>
    <w:rsid w:val="0031403C"/>
    <w:rsid w:val="00316254"/>
    <w:rsid w:val="00317466"/>
    <w:rsid w:val="00321CE8"/>
    <w:rsid w:val="0032446F"/>
    <w:rsid w:val="00325F4E"/>
    <w:rsid w:val="0032745F"/>
    <w:rsid w:val="00330812"/>
    <w:rsid w:val="00334268"/>
    <w:rsid w:val="003374B2"/>
    <w:rsid w:val="003374EE"/>
    <w:rsid w:val="0034050C"/>
    <w:rsid w:val="00342462"/>
    <w:rsid w:val="003435E7"/>
    <w:rsid w:val="0035669E"/>
    <w:rsid w:val="003611E2"/>
    <w:rsid w:val="003647C1"/>
    <w:rsid w:val="00381BBE"/>
    <w:rsid w:val="00384AFA"/>
    <w:rsid w:val="00387729"/>
    <w:rsid w:val="00393115"/>
    <w:rsid w:val="00393BCC"/>
    <w:rsid w:val="003A4BD5"/>
    <w:rsid w:val="003A6306"/>
    <w:rsid w:val="003A6ADB"/>
    <w:rsid w:val="003B0FCF"/>
    <w:rsid w:val="003B36CF"/>
    <w:rsid w:val="003B3A01"/>
    <w:rsid w:val="003B3AC1"/>
    <w:rsid w:val="003C3458"/>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4F08"/>
    <w:rsid w:val="00455F1E"/>
    <w:rsid w:val="004603A5"/>
    <w:rsid w:val="00461A15"/>
    <w:rsid w:val="004676DF"/>
    <w:rsid w:val="00470E9F"/>
    <w:rsid w:val="00474FE5"/>
    <w:rsid w:val="00482746"/>
    <w:rsid w:val="004837C6"/>
    <w:rsid w:val="00484FAB"/>
    <w:rsid w:val="00490285"/>
    <w:rsid w:val="0049097A"/>
    <w:rsid w:val="00491B16"/>
    <w:rsid w:val="00494DBD"/>
    <w:rsid w:val="00495CC7"/>
    <w:rsid w:val="0049683F"/>
    <w:rsid w:val="004A0025"/>
    <w:rsid w:val="004A2A19"/>
    <w:rsid w:val="004A3B43"/>
    <w:rsid w:val="004B4F0C"/>
    <w:rsid w:val="004C098F"/>
    <w:rsid w:val="004C32E7"/>
    <w:rsid w:val="004C7DA8"/>
    <w:rsid w:val="004D0040"/>
    <w:rsid w:val="004D21F8"/>
    <w:rsid w:val="004E00B0"/>
    <w:rsid w:val="004E1886"/>
    <w:rsid w:val="004E77C9"/>
    <w:rsid w:val="004F0324"/>
    <w:rsid w:val="004F1FD0"/>
    <w:rsid w:val="004F54A2"/>
    <w:rsid w:val="004F57F2"/>
    <w:rsid w:val="005018B2"/>
    <w:rsid w:val="005103D0"/>
    <w:rsid w:val="005125B9"/>
    <w:rsid w:val="0052123B"/>
    <w:rsid w:val="00522C54"/>
    <w:rsid w:val="00523068"/>
    <w:rsid w:val="00523DA7"/>
    <w:rsid w:val="005277E2"/>
    <w:rsid w:val="00531B24"/>
    <w:rsid w:val="00535298"/>
    <w:rsid w:val="00536257"/>
    <w:rsid w:val="00537332"/>
    <w:rsid w:val="00537F3A"/>
    <w:rsid w:val="00540540"/>
    <w:rsid w:val="00543BA7"/>
    <w:rsid w:val="00543C3B"/>
    <w:rsid w:val="00545341"/>
    <w:rsid w:val="005541B4"/>
    <w:rsid w:val="00554BE1"/>
    <w:rsid w:val="00556C49"/>
    <w:rsid w:val="00563700"/>
    <w:rsid w:val="005702E9"/>
    <w:rsid w:val="0057065D"/>
    <w:rsid w:val="0057447E"/>
    <w:rsid w:val="00574818"/>
    <w:rsid w:val="005810C1"/>
    <w:rsid w:val="005845D4"/>
    <w:rsid w:val="00584BC5"/>
    <w:rsid w:val="00586508"/>
    <w:rsid w:val="005866A2"/>
    <w:rsid w:val="0058772A"/>
    <w:rsid w:val="00593047"/>
    <w:rsid w:val="005966EB"/>
    <w:rsid w:val="005A079A"/>
    <w:rsid w:val="005B0AFA"/>
    <w:rsid w:val="005B5668"/>
    <w:rsid w:val="005B5FCF"/>
    <w:rsid w:val="005D2F21"/>
    <w:rsid w:val="005E1371"/>
    <w:rsid w:val="005E180F"/>
    <w:rsid w:val="005E5606"/>
    <w:rsid w:val="005E630F"/>
    <w:rsid w:val="005F1354"/>
    <w:rsid w:val="005F4A6F"/>
    <w:rsid w:val="005F596B"/>
    <w:rsid w:val="005F79CF"/>
    <w:rsid w:val="006003DB"/>
    <w:rsid w:val="00600D3E"/>
    <w:rsid w:val="006025DD"/>
    <w:rsid w:val="00607D4D"/>
    <w:rsid w:val="00610C87"/>
    <w:rsid w:val="00612682"/>
    <w:rsid w:val="00613426"/>
    <w:rsid w:val="006146EA"/>
    <w:rsid w:val="0063236F"/>
    <w:rsid w:val="006402CB"/>
    <w:rsid w:val="006434B5"/>
    <w:rsid w:val="00647539"/>
    <w:rsid w:val="006520D5"/>
    <w:rsid w:val="00652D7D"/>
    <w:rsid w:val="006622FB"/>
    <w:rsid w:val="006647EF"/>
    <w:rsid w:val="00665CA0"/>
    <w:rsid w:val="00666FC9"/>
    <w:rsid w:val="00672520"/>
    <w:rsid w:val="00674C04"/>
    <w:rsid w:val="0067588F"/>
    <w:rsid w:val="006778C9"/>
    <w:rsid w:val="00681CEA"/>
    <w:rsid w:val="00684C58"/>
    <w:rsid w:val="00686767"/>
    <w:rsid w:val="0068711A"/>
    <w:rsid w:val="006A0CEE"/>
    <w:rsid w:val="006A618C"/>
    <w:rsid w:val="006B2E43"/>
    <w:rsid w:val="006B3892"/>
    <w:rsid w:val="006D46A8"/>
    <w:rsid w:val="006D4A77"/>
    <w:rsid w:val="006D7356"/>
    <w:rsid w:val="006E2DDC"/>
    <w:rsid w:val="006F18F1"/>
    <w:rsid w:val="00702128"/>
    <w:rsid w:val="0070707D"/>
    <w:rsid w:val="00723B46"/>
    <w:rsid w:val="007263A4"/>
    <w:rsid w:val="0072651E"/>
    <w:rsid w:val="00733951"/>
    <w:rsid w:val="00734387"/>
    <w:rsid w:val="00735C67"/>
    <w:rsid w:val="007416C2"/>
    <w:rsid w:val="00741A12"/>
    <w:rsid w:val="00741D8D"/>
    <w:rsid w:val="00742E3B"/>
    <w:rsid w:val="0074348D"/>
    <w:rsid w:val="00743F5F"/>
    <w:rsid w:val="00744055"/>
    <w:rsid w:val="00757044"/>
    <w:rsid w:val="00766AE4"/>
    <w:rsid w:val="00766DC7"/>
    <w:rsid w:val="00774E5C"/>
    <w:rsid w:val="00777798"/>
    <w:rsid w:val="00781AD1"/>
    <w:rsid w:val="0078593B"/>
    <w:rsid w:val="00786C2F"/>
    <w:rsid w:val="00791606"/>
    <w:rsid w:val="007A4742"/>
    <w:rsid w:val="007B06DE"/>
    <w:rsid w:val="007B0CB6"/>
    <w:rsid w:val="007B71AE"/>
    <w:rsid w:val="007C7E70"/>
    <w:rsid w:val="007D18D2"/>
    <w:rsid w:val="007D452F"/>
    <w:rsid w:val="007E03CA"/>
    <w:rsid w:val="007E2907"/>
    <w:rsid w:val="007E38A9"/>
    <w:rsid w:val="007E422D"/>
    <w:rsid w:val="007E504F"/>
    <w:rsid w:val="007F1674"/>
    <w:rsid w:val="007F1FEA"/>
    <w:rsid w:val="007F676A"/>
    <w:rsid w:val="00802AF1"/>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BEE"/>
    <w:rsid w:val="00847CFC"/>
    <w:rsid w:val="0085087F"/>
    <w:rsid w:val="00851483"/>
    <w:rsid w:val="00862CB4"/>
    <w:rsid w:val="00865938"/>
    <w:rsid w:val="00866597"/>
    <w:rsid w:val="00872D63"/>
    <w:rsid w:val="00876837"/>
    <w:rsid w:val="008771F0"/>
    <w:rsid w:val="00891B7E"/>
    <w:rsid w:val="008938AC"/>
    <w:rsid w:val="00894097"/>
    <w:rsid w:val="008957AE"/>
    <w:rsid w:val="008A0BDE"/>
    <w:rsid w:val="008A221F"/>
    <w:rsid w:val="008A562C"/>
    <w:rsid w:val="008A67E9"/>
    <w:rsid w:val="008A6918"/>
    <w:rsid w:val="008B27F1"/>
    <w:rsid w:val="008B3D8C"/>
    <w:rsid w:val="008B5D80"/>
    <w:rsid w:val="008C1C47"/>
    <w:rsid w:val="008C4F96"/>
    <w:rsid w:val="008C5CF5"/>
    <w:rsid w:val="008D03AF"/>
    <w:rsid w:val="008D0A78"/>
    <w:rsid w:val="008D53A6"/>
    <w:rsid w:val="008E3430"/>
    <w:rsid w:val="008E3661"/>
    <w:rsid w:val="008E3CFA"/>
    <w:rsid w:val="008F2ED3"/>
    <w:rsid w:val="00910DA7"/>
    <w:rsid w:val="00911807"/>
    <w:rsid w:val="00913511"/>
    <w:rsid w:val="0091567A"/>
    <w:rsid w:val="0091586E"/>
    <w:rsid w:val="00917D94"/>
    <w:rsid w:val="00920E54"/>
    <w:rsid w:val="0092291C"/>
    <w:rsid w:val="00923DDC"/>
    <w:rsid w:val="00925AF7"/>
    <w:rsid w:val="009326F0"/>
    <w:rsid w:val="00932811"/>
    <w:rsid w:val="00932AF5"/>
    <w:rsid w:val="00936E63"/>
    <w:rsid w:val="0094032E"/>
    <w:rsid w:val="00942494"/>
    <w:rsid w:val="00945D44"/>
    <w:rsid w:val="009464B6"/>
    <w:rsid w:val="0094723A"/>
    <w:rsid w:val="0095083D"/>
    <w:rsid w:val="009548D8"/>
    <w:rsid w:val="0096267A"/>
    <w:rsid w:val="009663CA"/>
    <w:rsid w:val="00974067"/>
    <w:rsid w:val="009742DB"/>
    <w:rsid w:val="00982A7E"/>
    <w:rsid w:val="00992772"/>
    <w:rsid w:val="009957C8"/>
    <w:rsid w:val="009A1BD8"/>
    <w:rsid w:val="009A7591"/>
    <w:rsid w:val="009B4DA2"/>
    <w:rsid w:val="009B57AB"/>
    <w:rsid w:val="009C19F6"/>
    <w:rsid w:val="009C7291"/>
    <w:rsid w:val="009D0858"/>
    <w:rsid w:val="009D0FE3"/>
    <w:rsid w:val="009D1667"/>
    <w:rsid w:val="009D756D"/>
    <w:rsid w:val="009E1D35"/>
    <w:rsid w:val="009E4D0C"/>
    <w:rsid w:val="009E58AE"/>
    <w:rsid w:val="009E73F4"/>
    <w:rsid w:val="009F3E01"/>
    <w:rsid w:val="00A03A93"/>
    <w:rsid w:val="00A0628B"/>
    <w:rsid w:val="00A07E69"/>
    <w:rsid w:val="00A10E6F"/>
    <w:rsid w:val="00A200B6"/>
    <w:rsid w:val="00A22368"/>
    <w:rsid w:val="00A223E4"/>
    <w:rsid w:val="00A2280C"/>
    <w:rsid w:val="00A24531"/>
    <w:rsid w:val="00A4213A"/>
    <w:rsid w:val="00A448C2"/>
    <w:rsid w:val="00A470FF"/>
    <w:rsid w:val="00A61871"/>
    <w:rsid w:val="00A61915"/>
    <w:rsid w:val="00A62356"/>
    <w:rsid w:val="00A6406C"/>
    <w:rsid w:val="00A72EF9"/>
    <w:rsid w:val="00A73BF4"/>
    <w:rsid w:val="00A7500D"/>
    <w:rsid w:val="00A766C8"/>
    <w:rsid w:val="00A76825"/>
    <w:rsid w:val="00A80748"/>
    <w:rsid w:val="00A80B59"/>
    <w:rsid w:val="00A8159B"/>
    <w:rsid w:val="00A84679"/>
    <w:rsid w:val="00A85FC4"/>
    <w:rsid w:val="00A92B4F"/>
    <w:rsid w:val="00A933D4"/>
    <w:rsid w:val="00AB3AC2"/>
    <w:rsid w:val="00AB496E"/>
    <w:rsid w:val="00AB5871"/>
    <w:rsid w:val="00AB6A6A"/>
    <w:rsid w:val="00AD0E6F"/>
    <w:rsid w:val="00AD3B99"/>
    <w:rsid w:val="00AD522D"/>
    <w:rsid w:val="00AE0765"/>
    <w:rsid w:val="00AE3A4D"/>
    <w:rsid w:val="00AE699D"/>
    <w:rsid w:val="00AE6A06"/>
    <w:rsid w:val="00AF6E79"/>
    <w:rsid w:val="00B0055A"/>
    <w:rsid w:val="00B011D2"/>
    <w:rsid w:val="00B02055"/>
    <w:rsid w:val="00B04355"/>
    <w:rsid w:val="00B05287"/>
    <w:rsid w:val="00B074E6"/>
    <w:rsid w:val="00B0775D"/>
    <w:rsid w:val="00B12073"/>
    <w:rsid w:val="00B124DD"/>
    <w:rsid w:val="00B13186"/>
    <w:rsid w:val="00B1473B"/>
    <w:rsid w:val="00B14E6E"/>
    <w:rsid w:val="00B209E2"/>
    <w:rsid w:val="00B241C7"/>
    <w:rsid w:val="00B26958"/>
    <w:rsid w:val="00B27A82"/>
    <w:rsid w:val="00B30985"/>
    <w:rsid w:val="00B31B13"/>
    <w:rsid w:val="00B31B3C"/>
    <w:rsid w:val="00B35E24"/>
    <w:rsid w:val="00B368ED"/>
    <w:rsid w:val="00B418B0"/>
    <w:rsid w:val="00B44F94"/>
    <w:rsid w:val="00B45EE1"/>
    <w:rsid w:val="00B51D08"/>
    <w:rsid w:val="00B56CE3"/>
    <w:rsid w:val="00B5708E"/>
    <w:rsid w:val="00B57BF3"/>
    <w:rsid w:val="00B617DD"/>
    <w:rsid w:val="00B633E5"/>
    <w:rsid w:val="00B636C9"/>
    <w:rsid w:val="00B7034F"/>
    <w:rsid w:val="00B711A6"/>
    <w:rsid w:val="00B80A57"/>
    <w:rsid w:val="00B82EC9"/>
    <w:rsid w:val="00B851A6"/>
    <w:rsid w:val="00B8579C"/>
    <w:rsid w:val="00B85901"/>
    <w:rsid w:val="00B862F2"/>
    <w:rsid w:val="00B90B72"/>
    <w:rsid w:val="00B90DEA"/>
    <w:rsid w:val="00B94D3B"/>
    <w:rsid w:val="00BA079D"/>
    <w:rsid w:val="00BA1E90"/>
    <w:rsid w:val="00BA2C1E"/>
    <w:rsid w:val="00BB2B88"/>
    <w:rsid w:val="00BD0F20"/>
    <w:rsid w:val="00BD4445"/>
    <w:rsid w:val="00BD619D"/>
    <w:rsid w:val="00BE2133"/>
    <w:rsid w:val="00BE6920"/>
    <w:rsid w:val="00BF7B93"/>
    <w:rsid w:val="00C03CB6"/>
    <w:rsid w:val="00C06BE9"/>
    <w:rsid w:val="00C10D87"/>
    <w:rsid w:val="00C17FD9"/>
    <w:rsid w:val="00C21AB0"/>
    <w:rsid w:val="00C22015"/>
    <w:rsid w:val="00C27637"/>
    <w:rsid w:val="00C30FAA"/>
    <w:rsid w:val="00C31056"/>
    <w:rsid w:val="00C317F4"/>
    <w:rsid w:val="00C32DA0"/>
    <w:rsid w:val="00C402FF"/>
    <w:rsid w:val="00C43346"/>
    <w:rsid w:val="00C43F81"/>
    <w:rsid w:val="00C4507E"/>
    <w:rsid w:val="00C45DCC"/>
    <w:rsid w:val="00C51430"/>
    <w:rsid w:val="00C52937"/>
    <w:rsid w:val="00C54DB1"/>
    <w:rsid w:val="00C54DB4"/>
    <w:rsid w:val="00C54E79"/>
    <w:rsid w:val="00C56293"/>
    <w:rsid w:val="00C568D4"/>
    <w:rsid w:val="00C63927"/>
    <w:rsid w:val="00C63BAD"/>
    <w:rsid w:val="00C83767"/>
    <w:rsid w:val="00C839FD"/>
    <w:rsid w:val="00C90EC8"/>
    <w:rsid w:val="00C92AD6"/>
    <w:rsid w:val="00C9390F"/>
    <w:rsid w:val="00C943B1"/>
    <w:rsid w:val="00CA5B9D"/>
    <w:rsid w:val="00CB2C5F"/>
    <w:rsid w:val="00CB422C"/>
    <w:rsid w:val="00CB73CB"/>
    <w:rsid w:val="00CB7789"/>
    <w:rsid w:val="00CC47FC"/>
    <w:rsid w:val="00CD0796"/>
    <w:rsid w:val="00CD1EAD"/>
    <w:rsid w:val="00CD3E94"/>
    <w:rsid w:val="00CD6D03"/>
    <w:rsid w:val="00CE1818"/>
    <w:rsid w:val="00CF38C1"/>
    <w:rsid w:val="00CF4564"/>
    <w:rsid w:val="00CF7F78"/>
    <w:rsid w:val="00D016F3"/>
    <w:rsid w:val="00D07E62"/>
    <w:rsid w:val="00D230B5"/>
    <w:rsid w:val="00D31529"/>
    <w:rsid w:val="00D327F4"/>
    <w:rsid w:val="00D335B6"/>
    <w:rsid w:val="00D3570E"/>
    <w:rsid w:val="00D4640C"/>
    <w:rsid w:val="00D537DE"/>
    <w:rsid w:val="00D566E1"/>
    <w:rsid w:val="00D60A19"/>
    <w:rsid w:val="00D60C28"/>
    <w:rsid w:val="00D665D2"/>
    <w:rsid w:val="00D77B00"/>
    <w:rsid w:val="00D82015"/>
    <w:rsid w:val="00D82F1A"/>
    <w:rsid w:val="00D950B4"/>
    <w:rsid w:val="00DA147C"/>
    <w:rsid w:val="00DB0995"/>
    <w:rsid w:val="00DB1495"/>
    <w:rsid w:val="00DB2B8E"/>
    <w:rsid w:val="00DB6E84"/>
    <w:rsid w:val="00DC6BB7"/>
    <w:rsid w:val="00DD4A4C"/>
    <w:rsid w:val="00DE06E6"/>
    <w:rsid w:val="00DE1EF6"/>
    <w:rsid w:val="00DF20F3"/>
    <w:rsid w:val="00E037B2"/>
    <w:rsid w:val="00E054C1"/>
    <w:rsid w:val="00E147F9"/>
    <w:rsid w:val="00E1550B"/>
    <w:rsid w:val="00E1631C"/>
    <w:rsid w:val="00E17B77"/>
    <w:rsid w:val="00E17E2A"/>
    <w:rsid w:val="00E213C8"/>
    <w:rsid w:val="00E24B86"/>
    <w:rsid w:val="00E27319"/>
    <w:rsid w:val="00E316EB"/>
    <w:rsid w:val="00E3287F"/>
    <w:rsid w:val="00E34416"/>
    <w:rsid w:val="00E435E9"/>
    <w:rsid w:val="00E4432D"/>
    <w:rsid w:val="00E44D42"/>
    <w:rsid w:val="00E45F87"/>
    <w:rsid w:val="00E50AC1"/>
    <w:rsid w:val="00E545F7"/>
    <w:rsid w:val="00E5698E"/>
    <w:rsid w:val="00E609DF"/>
    <w:rsid w:val="00E76DC9"/>
    <w:rsid w:val="00E85AFD"/>
    <w:rsid w:val="00E9591E"/>
    <w:rsid w:val="00E9736E"/>
    <w:rsid w:val="00EA4459"/>
    <w:rsid w:val="00EA6394"/>
    <w:rsid w:val="00EB3B38"/>
    <w:rsid w:val="00EB44D2"/>
    <w:rsid w:val="00EC153F"/>
    <w:rsid w:val="00EC1A23"/>
    <w:rsid w:val="00EC711B"/>
    <w:rsid w:val="00ED2DD7"/>
    <w:rsid w:val="00EE0BCF"/>
    <w:rsid w:val="00EE6653"/>
    <w:rsid w:val="00EF4B43"/>
    <w:rsid w:val="00EF538C"/>
    <w:rsid w:val="00EF7D2F"/>
    <w:rsid w:val="00F126B1"/>
    <w:rsid w:val="00F1562E"/>
    <w:rsid w:val="00F162AA"/>
    <w:rsid w:val="00F25445"/>
    <w:rsid w:val="00F25F1D"/>
    <w:rsid w:val="00F32774"/>
    <w:rsid w:val="00F33AB7"/>
    <w:rsid w:val="00F37C80"/>
    <w:rsid w:val="00F43675"/>
    <w:rsid w:val="00F509C1"/>
    <w:rsid w:val="00F514F5"/>
    <w:rsid w:val="00F5283C"/>
    <w:rsid w:val="00F52EF3"/>
    <w:rsid w:val="00F546DB"/>
    <w:rsid w:val="00F60242"/>
    <w:rsid w:val="00F60F94"/>
    <w:rsid w:val="00F6133B"/>
    <w:rsid w:val="00F83C47"/>
    <w:rsid w:val="00F859EA"/>
    <w:rsid w:val="00F97B35"/>
    <w:rsid w:val="00FA33D3"/>
    <w:rsid w:val="00FA444D"/>
    <w:rsid w:val="00FA4D84"/>
    <w:rsid w:val="00FB3213"/>
    <w:rsid w:val="00FB3B14"/>
    <w:rsid w:val="00FB619B"/>
    <w:rsid w:val="00FC0328"/>
    <w:rsid w:val="00FC2ABF"/>
    <w:rsid w:val="00FD75F3"/>
    <w:rsid w:val="00FE712D"/>
    <w:rsid w:val="00FF1E3E"/>
    <w:rsid w:val="010CCE32"/>
    <w:rsid w:val="017CDAF4"/>
    <w:rsid w:val="040362A6"/>
    <w:rsid w:val="052E3AB5"/>
    <w:rsid w:val="05B80250"/>
    <w:rsid w:val="066420A1"/>
    <w:rsid w:val="06697D76"/>
    <w:rsid w:val="071FF7C1"/>
    <w:rsid w:val="0865DB77"/>
    <w:rsid w:val="095B8FD1"/>
    <w:rsid w:val="09660C69"/>
    <w:rsid w:val="09F07101"/>
    <w:rsid w:val="0A212992"/>
    <w:rsid w:val="0B1FE687"/>
    <w:rsid w:val="0C5389F5"/>
    <w:rsid w:val="0CBE80C3"/>
    <w:rsid w:val="0E0A113C"/>
    <w:rsid w:val="0E277910"/>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41134C0"/>
    <w:rsid w:val="54BBAC2E"/>
    <w:rsid w:val="54CBA51E"/>
    <w:rsid w:val="55A5179B"/>
    <w:rsid w:val="55AB332C"/>
    <w:rsid w:val="55AD0521"/>
    <w:rsid w:val="57651E36"/>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AD56308"/>
    <w:rsid w:val="6B475779"/>
    <w:rsid w:val="6CC83849"/>
    <w:rsid w:val="6DFB95D9"/>
    <w:rsid w:val="6EF44D82"/>
    <w:rsid w:val="6FA14C47"/>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uta.mywconline.com/" TargetMode="External"/><Relationship Id="rId26" Type="http://schemas.openxmlformats.org/officeDocument/2006/relationships/hyperlink" Target="https://library.uta.edu/subject-librarians" TargetMode="External"/><Relationship Id="rId21" Type="http://schemas.openxmlformats.org/officeDocument/2006/relationships/hyperlink" Target="https://nam12.safelinks.protection.outlook.com/?url=https%3A%2F%2Ft.e2ma.net%2Fclick%2Fwgxbwg%2Fwgxzqr%2Fggadgo&amp;data=05%7C01%7Cgsiemens%40uta.edu%7Ccc839aa0300b4a7e0f2808daf285880b%7C5cdc5b43d7be4caa8173729e3b0a62d9%7C0%7C0%7C638088952577301409%7CUnknown%7CTWFpbGZsb3d8eyJWIjoiMC4wLjAwMDAiLCJQIjoiV2luMzIiLCJBTiI6Ik1haWwiLCJXVCI6Mn0%3D%7C3000%7C%7C%7C&amp;sdata=jxL%2B4ASGRm1l%2FaM1gzQ17DuUXRQ4Ua4DQvKUXThJLRA%3D&amp;reserved=0" TargetMode="External"/><Relationship Id="rId34" Type="http://schemas.openxmlformats.org/officeDocument/2006/relationships/hyperlink" Target="https://openroom.uta.edu/"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ask.uta.edu/" TargetMode="External"/><Relationship Id="rId33" Type="http://schemas.openxmlformats.org/officeDocument/2006/relationships/hyperlink" Target="https://uta.summon.serialssolution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libraries.uta.edu/research/librarians" TargetMode="External"/><Relationship Id="rId29" Type="http://schemas.openxmlformats.org/officeDocument/2006/relationships/hyperlink" Target="https://libguides.ut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george-siemens" TargetMode="External"/><Relationship Id="rId24" Type="http://schemas.openxmlformats.org/officeDocument/2006/relationships/hyperlink" Target="http://ask.uta.edu/" TargetMode="External"/><Relationship Id="rId32" Type="http://schemas.openxmlformats.org/officeDocument/2006/relationships/hyperlink" Target="https://libguides.uta.edu/az.ph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siemens@uta.edu" TargetMode="External"/><Relationship Id="rId23" Type="http://schemas.openxmlformats.org/officeDocument/2006/relationships/hyperlink" Target="https://library.uta.edu/academic-plaza" TargetMode="External"/><Relationship Id="rId28" Type="http://schemas.openxmlformats.org/officeDocument/2006/relationships/hyperlink" Target="http://library.uta.edu/how-to"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ta.edu/owl" TargetMode="External"/><Relationship Id="rId31" Type="http://schemas.openxmlformats.org/officeDocument/2006/relationships/hyperlink" Target="https://library.uta.edu/subject-librarians"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a.instructure.com/courses/98914" TargetMode="External"/><Relationship Id="rId22" Type="http://schemas.openxmlformats.org/officeDocument/2006/relationships/hyperlink" Target="https://nam12.safelinks.protection.outlook.com/?url=https%3A%2F%2Ft.e2ma.net%2Fclick%2Fwgxbwg%2Fwgxzqr%2Fw8adgo&amp;data=05%7C01%7Cgsiemens%40uta.edu%7Ccc839aa0300b4a7e0f2808daf285880b%7C5cdc5b43d7be4caa8173729e3b0a62d9%7C0%7C0%7C638088952577301409%7CUnknown%7CTWFpbGZsb3d8eyJWIjoiMC4wLjAwMDAiLCJQIjoiV2luMzIiLCJBTiI6Ik1haWwiLCJXVCI6Mn0%3D%7C3000%7C%7C%7C&amp;sdata=JrrltjQ%2BcSM0f17QZVVLUUZNYM3qpeg3qPQFyrcPESI%3D&amp;reserved=0" TargetMode="External"/><Relationship Id="rId27" Type="http://schemas.openxmlformats.org/officeDocument/2006/relationships/hyperlink" Target="https://library.uta.edu/how-to" TargetMode="External"/><Relationship Id="rId30" Type="http://schemas.openxmlformats.org/officeDocument/2006/relationships/hyperlink" Target="http://libguides.uta.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13411</CharactersWithSpaces>
  <SharedDoc>false</SharedDoc>
  <HLinks>
    <vt:vector size="180"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ariant>
        <vt:i4>1900669</vt:i4>
      </vt:variant>
      <vt:variant>
        <vt:i4>6</vt:i4>
      </vt:variant>
      <vt:variant>
        <vt:i4>0</vt:i4>
      </vt:variant>
      <vt:variant>
        <vt:i4>5</vt:i4>
      </vt:variant>
      <vt:variant>
        <vt:lpwstr>mailto:vitomir.kovanovic@uta.edu</vt:lpwstr>
      </vt:variant>
      <vt:variant>
        <vt:lpwstr/>
      </vt:variant>
      <vt:variant>
        <vt:i4>1114171</vt:i4>
      </vt:variant>
      <vt:variant>
        <vt:i4>3</vt:i4>
      </vt:variant>
      <vt:variant>
        <vt:i4>0</vt:i4>
      </vt:variant>
      <vt:variant>
        <vt:i4>5</vt:i4>
      </vt:variant>
      <vt:variant>
        <vt:lpwstr>mailto:gsiemens@uta.edu</vt:lpwstr>
      </vt:variant>
      <vt:variant>
        <vt:lpwstr/>
      </vt:variant>
      <vt:variant>
        <vt:i4>1114173</vt:i4>
      </vt:variant>
      <vt:variant>
        <vt:i4>0</vt:i4>
      </vt:variant>
      <vt:variant>
        <vt:i4>0</vt:i4>
      </vt:variant>
      <vt:variant>
        <vt:i4>5</vt:i4>
      </vt:variant>
      <vt:variant>
        <vt:lpwstr>mailto:jdelling@uta.edu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Siemens, George</cp:lastModifiedBy>
  <cp:revision>5</cp:revision>
  <cp:lastPrinted>2014-07-22T20:44:00Z</cp:lastPrinted>
  <dcterms:created xsi:type="dcterms:W3CDTF">2023-01-17T09:18:00Z</dcterms:created>
  <dcterms:modified xsi:type="dcterms:W3CDTF">2023-01-17T09:28:00Z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